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1B48" w:rsidRDefault="00371B48" w:rsidP="00371B48">
      <w:pPr>
        <w:pStyle w:val="Default"/>
      </w:pPr>
    </w:p>
    <w:p w:rsidR="00371B48" w:rsidRDefault="00371B48" w:rsidP="00371B48">
      <w:pPr>
        <w:pStyle w:val="Default"/>
        <w:rPr>
          <w:sz w:val="22"/>
          <w:szCs w:val="22"/>
        </w:rPr>
      </w:pPr>
      <w:r>
        <w:t xml:space="preserve"> </w:t>
      </w:r>
      <w:r>
        <w:rPr>
          <w:i/>
          <w:iCs/>
          <w:sz w:val="22"/>
          <w:szCs w:val="22"/>
        </w:rPr>
        <w:t xml:space="preserve">Journal of Geophysical Research </w:t>
      </w:r>
      <w:r w:rsidR="009E6A8D">
        <w:rPr>
          <w:i/>
          <w:iCs/>
          <w:sz w:val="22"/>
          <w:szCs w:val="22"/>
        </w:rPr>
        <w:t>Atmospheres</w:t>
      </w:r>
    </w:p>
    <w:p w:rsidR="00371B48" w:rsidRDefault="00371B48" w:rsidP="00371B4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Supporting Information for </w:t>
      </w:r>
    </w:p>
    <w:p w:rsidR="009E6A8D" w:rsidRDefault="009E6A8D" w:rsidP="009E6A8D">
      <w:pPr>
        <w:pStyle w:val="Default"/>
        <w:rPr>
          <w:b/>
          <w:bCs/>
          <w:sz w:val="22"/>
          <w:szCs w:val="22"/>
        </w:rPr>
      </w:pPr>
      <w:r w:rsidRPr="009E6A8D">
        <w:rPr>
          <w:b/>
          <w:bCs/>
          <w:sz w:val="22"/>
          <w:szCs w:val="22"/>
        </w:rPr>
        <w:t>Exploration of Predictors for Statistical-Dynamical</w:t>
      </w:r>
      <w:r>
        <w:rPr>
          <w:b/>
          <w:bCs/>
          <w:sz w:val="22"/>
          <w:szCs w:val="22"/>
        </w:rPr>
        <w:t xml:space="preserve"> </w:t>
      </w:r>
      <w:r w:rsidRPr="009E6A8D">
        <w:rPr>
          <w:b/>
          <w:bCs/>
          <w:sz w:val="22"/>
          <w:szCs w:val="22"/>
        </w:rPr>
        <w:t>Subseasonal Prediction of Western North-Pacific</w:t>
      </w:r>
      <w:r>
        <w:rPr>
          <w:b/>
          <w:bCs/>
          <w:sz w:val="22"/>
          <w:szCs w:val="22"/>
        </w:rPr>
        <w:t xml:space="preserve"> </w:t>
      </w:r>
      <w:r w:rsidRPr="009E6A8D">
        <w:rPr>
          <w:b/>
          <w:bCs/>
          <w:sz w:val="22"/>
          <w:szCs w:val="22"/>
        </w:rPr>
        <w:t>Tropical Cyclone Activity in Earth System Models</w:t>
      </w:r>
    </w:p>
    <w:p w:rsidR="00371B48" w:rsidRDefault="00EC26C1" w:rsidP="009E6A8D">
      <w:pPr>
        <w:pStyle w:val="Default"/>
        <w:rPr>
          <w:sz w:val="13"/>
          <w:szCs w:val="13"/>
        </w:rPr>
      </w:pPr>
      <w:r>
        <w:rPr>
          <w:sz w:val="22"/>
          <w:szCs w:val="22"/>
        </w:rPr>
        <w:t>K.A. Hansen</w:t>
      </w:r>
      <w:r w:rsidR="00371B48">
        <w:rPr>
          <w:sz w:val="13"/>
          <w:szCs w:val="13"/>
        </w:rPr>
        <w:t>1</w:t>
      </w:r>
      <w:r w:rsidR="00371B48">
        <w:rPr>
          <w:sz w:val="22"/>
          <w:szCs w:val="22"/>
        </w:rPr>
        <w:t xml:space="preserve">, </w:t>
      </w:r>
      <w:r>
        <w:rPr>
          <w:sz w:val="22"/>
          <w:szCs w:val="22"/>
        </w:rPr>
        <w:t>M.A. Janiga</w:t>
      </w:r>
      <w:r w:rsidR="00371B48">
        <w:rPr>
          <w:sz w:val="13"/>
          <w:szCs w:val="13"/>
        </w:rPr>
        <w:t xml:space="preserve">2 </w:t>
      </w:r>
    </w:p>
    <w:p w:rsidR="00371B48" w:rsidRDefault="00371B48" w:rsidP="003C51A8">
      <w:pPr>
        <w:pStyle w:val="Default"/>
        <w:rPr>
          <w:sz w:val="18"/>
          <w:szCs w:val="18"/>
        </w:rPr>
      </w:pPr>
      <w:r>
        <w:rPr>
          <w:sz w:val="11"/>
          <w:szCs w:val="11"/>
        </w:rPr>
        <w:t>1</w:t>
      </w:r>
      <w:r w:rsidR="003C51A8" w:rsidRPr="003C51A8">
        <w:t xml:space="preserve"> </w:t>
      </w:r>
      <w:r w:rsidR="003C51A8" w:rsidRPr="003C51A8">
        <w:rPr>
          <w:sz w:val="18"/>
          <w:szCs w:val="18"/>
        </w:rPr>
        <w:t>National Research Council</w:t>
      </w:r>
      <w:r w:rsidR="003C51A8">
        <w:rPr>
          <w:sz w:val="18"/>
          <w:szCs w:val="18"/>
        </w:rPr>
        <w:t xml:space="preserve">, </w:t>
      </w:r>
      <w:r>
        <w:rPr>
          <w:sz w:val="11"/>
          <w:szCs w:val="11"/>
        </w:rPr>
        <w:t>2</w:t>
      </w:r>
      <w:r w:rsidR="003C51A8" w:rsidRPr="003C51A8">
        <w:rPr>
          <w:sz w:val="18"/>
          <w:szCs w:val="18"/>
        </w:rPr>
        <w:t>Naval Research Lab Marine Meteorology Division</w:t>
      </w:r>
      <w:r>
        <w:rPr>
          <w:sz w:val="18"/>
          <w:szCs w:val="18"/>
        </w:rPr>
        <w:t xml:space="preserve"> </w:t>
      </w:r>
    </w:p>
    <w:p w:rsidR="00371B48" w:rsidRDefault="00371B48" w:rsidP="00371B4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Contents of this file </w:t>
      </w:r>
    </w:p>
    <w:p w:rsidR="00371B48" w:rsidRDefault="00371B48" w:rsidP="00371B48">
      <w:pPr>
        <w:pStyle w:val="Default"/>
        <w:rPr>
          <w:sz w:val="22"/>
          <w:szCs w:val="22"/>
        </w:rPr>
      </w:pPr>
      <w:r>
        <w:rPr>
          <w:sz w:val="22"/>
          <w:szCs w:val="22"/>
        </w:rPr>
        <w:t>Figures S1 to S</w:t>
      </w:r>
      <w:r w:rsidR="003C51A8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</w:p>
    <w:p w:rsidR="00371B48" w:rsidRDefault="00371B48" w:rsidP="00371B4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Introduction </w:t>
      </w:r>
    </w:p>
    <w:p w:rsidR="00296647" w:rsidRDefault="00371B48" w:rsidP="00371B48">
      <w:r>
        <w:t xml:space="preserve">This supporting information provides </w:t>
      </w:r>
      <w:r w:rsidR="003C51A8">
        <w:t>additional figures referenced in the main article.</w:t>
      </w:r>
      <w:bookmarkStart w:id="0" w:name="_GoBack"/>
      <w:bookmarkEnd w:id="0"/>
      <w:r w:rsidR="00296647" w:rsidRPr="00296647">
        <w:drawing>
          <wp:inline distT="0" distB="0" distL="0" distR="0" wp14:anchorId="348086C7" wp14:editId="41BF4DC5">
            <wp:extent cx="4629150" cy="2495550"/>
            <wp:effectExtent l="0" t="0" r="0" b="0"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77049C80-36B9-4A32-837B-94F492FCFE6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77049C80-36B9-4A32-837B-94F492FCFE6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2915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6647" w:rsidRDefault="00296647" w:rsidP="00296647">
      <w:r>
        <w:t xml:space="preserve">Figure S1. GPI anomalies </w:t>
      </w:r>
      <w:r>
        <w:t>associated with the top third of subseasonal TC events</w:t>
      </w:r>
      <w:r>
        <w:t xml:space="preserve"> </w:t>
      </w:r>
      <w:r>
        <w:t>as measured by TC days</w:t>
      </w:r>
      <w:r>
        <w:t xml:space="preserve"> as in Fig. 3 but the environment within 500km of TC’s are not removed. </w:t>
      </w:r>
    </w:p>
    <w:p w:rsidR="00296647" w:rsidRDefault="00296647" w:rsidP="00296647">
      <w:r w:rsidRPr="00296647">
        <w:drawing>
          <wp:inline distT="0" distB="0" distL="0" distR="0" wp14:anchorId="3DD4034C" wp14:editId="098F520E">
            <wp:extent cx="4552950" cy="2552700"/>
            <wp:effectExtent l="0" t="0" r="0" b="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9EBA4E1E-D0F6-4514-9748-7D2BC774B37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9EBA4E1E-D0F6-4514-9748-7D2BC774B37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6647" w:rsidRDefault="00296647" w:rsidP="00296647">
      <w:r>
        <w:t>Figure S2. 2</w:t>
      </w:r>
      <w:r>
        <w:t xml:space="preserve">00mb level wind anomalies (vectors) and </w:t>
      </w:r>
      <w:r>
        <w:t>5</w:t>
      </w:r>
      <w:r>
        <w:t>00mb</w:t>
      </w:r>
      <w:r>
        <w:t xml:space="preserve"> height anomalies</w:t>
      </w:r>
      <w:r>
        <w:t xml:space="preserve"> associated with the top</w:t>
      </w:r>
      <w:r>
        <w:t xml:space="preserve"> </w:t>
      </w:r>
      <w:r>
        <w:t>third of subseasonal TC events as measured by TC day</w:t>
      </w:r>
      <w:r>
        <w:t>.</w:t>
      </w:r>
    </w:p>
    <w:p w:rsidR="007D6FD2" w:rsidRDefault="007D6FD2" w:rsidP="00296647"/>
    <w:p w:rsidR="00296647" w:rsidRDefault="00296647" w:rsidP="00296647">
      <w:r w:rsidRPr="00296647">
        <w:drawing>
          <wp:inline distT="0" distB="0" distL="0" distR="0" wp14:anchorId="06A01BD7" wp14:editId="4758C020">
            <wp:extent cx="5299587" cy="2776984"/>
            <wp:effectExtent l="0" t="0" r="0" b="0"/>
            <wp:docPr id="7" name="Picture 6">
              <a:extLst xmlns:a="http://schemas.openxmlformats.org/drawingml/2006/main">
                <a:ext uri="{FF2B5EF4-FFF2-40B4-BE49-F238E27FC236}">
                  <a16:creationId xmlns:a16="http://schemas.microsoft.com/office/drawing/2014/main" id="{D7E8E208-6CD3-4665-AE9A-77E6578627D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>
                      <a:extLst>
                        <a:ext uri="{FF2B5EF4-FFF2-40B4-BE49-F238E27FC236}">
                          <a16:creationId xmlns:a16="http://schemas.microsoft.com/office/drawing/2014/main" id="{D7E8E208-6CD3-4665-AE9A-77E6578627D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9587" cy="2776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6647" w:rsidRDefault="007D6FD2" w:rsidP="007D6FD2">
      <w:r>
        <w:t xml:space="preserve">Figure S3. </w:t>
      </w:r>
      <w:r>
        <w:t>Normalized vorticity anomalies associated with the top third of subseasonal TC</w:t>
      </w:r>
      <w:r>
        <w:t xml:space="preserve"> </w:t>
      </w:r>
      <w:r>
        <w:t xml:space="preserve">events as measured by </w:t>
      </w:r>
      <w:r>
        <w:t>TC genesis</w:t>
      </w:r>
      <w:r>
        <w:t>.</w:t>
      </w:r>
      <w:r>
        <w:t xml:space="preserve"> The bold contours indicate the threshold where anomalies</w:t>
      </w:r>
      <w:r>
        <w:t xml:space="preserve"> are significant at the 95% level</w:t>
      </w:r>
      <w:r>
        <w:t>.</w:t>
      </w:r>
    </w:p>
    <w:p w:rsidR="00296647" w:rsidRDefault="007D6FD2" w:rsidP="00296647">
      <w:r w:rsidRPr="007D6FD2">
        <w:drawing>
          <wp:inline distT="0" distB="0" distL="0" distR="0" wp14:anchorId="380E3B2D" wp14:editId="5FF136FA">
            <wp:extent cx="5943600" cy="3648710"/>
            <wp:effectExtent l="0" t="0" r="0" b="0"/>
            <wp:docPr id="2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48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6FD2" w:rsidRDefault="007D6FD2" w:rsidP="007D6FD2">
      <w:r>
        <w:t>Figure S</w:t>
      </w:r>
      <w:r>
        <w:t>4</w:t>
      </w:r>
      <w:r>
        <w:t xml:space="preserve">. Normalized </w:t>
      </w:r>
      <w:r>
        <w:t>potential intensity</w:t>
      </w:r>
      <w:r>
        <w:t xml:space="preserve"> anomalies associated with the top third of subseasonal TC</w:t>
      </w:r>
      <w:r>
        <w:t xml:space="preserve"> </w:t>
      </w:r>
      <w:r>
        <w:t xml:space="preserve">events as measured by TC </w:t>
      </w:r>
      <w:r>
        <w:t>days</w:t>
      </w:r>
      <w:r>
        <w:t xml:space="preserve">. </w:t>
      </w:r>
    </w:p>
    <w:p w:rsidR="007D6FD2" w:rsidRDefault="007D6FD2" w:rsidP="007D6FD2">
      <w:r w:rsidRPr="007D6FD2">
        <w:lastRenderedPageBreak/>
        <w:drawing>
          <wp:inline distT="0" distB="0" distL="0" distR="0" wp14:anchorId="1A6392D9" wp14:editId="79054740">
            <wp:extent cx="4667250" cy="2495550"/>
            <wp:effectExtent l="0" t="0" r="0" b="0"/>
            <wp:docPr id="8" name="Picture 7">
              <a:extLst xmlns:a="http://schemas.openxmlformats.org/drawingml/2006/main">
                <a:ext uri="{FF2B5EF4-FFF2-40B4-BE49-F238E27FC236}">
                  <a16:creationId xmlns:a16="http://schemas.microsoft.com/office/drawing/2014/main" id="{35131DF1-A6CA-4FB7-9F12-5F837D6D6A2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FF2B5EF4-FFF2-40B4-BE49-F238E27FC236}">
                          <a16:creationId xmlns:a16="http://schemas.microsoft.com/office/drawing/2014/main" id="{35131DF1-A6CA-4FB7-9F12-5F837D6D6A2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6FD2" w:rsidRDefault="007D6FD2" w:rsidP="007D6FD2">
      <w:r>
        <w:t>Figure S</w:t>
      </w:r>
      <w:r>
        <w:t>5</w:t>
      </w:r>
      <w:r>
        <w:t>. Normalized vorticity anomalies associated with the top third of subseasonal TC</w:t>
      </w:r>
      <w:r>
        <w:t xml:space="preserve"> </w:t>
      </w:r>
      <w:r>
        <w:t>events as measured by TC genesis. The bold contours indicate the threshold where anomalies are significant at the 95% level.</w:t>
      </w:r>
    </w:p>
    <w:p w:rsidR="00112CE6" w:rsidRDefault="00112CE6" w:rsidP="007D6FD2">
      <w:r>
        <w:rPr>
          <w:noProof/>
        </w:rPr>
        <w:drawing>
          <wp:inline distT="0" distB="0" distL="0" distR="0" wp14:anchorId="750B8AEF">
            <wp:extent cx="5163820" cy="417639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3820" cy="41763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2CE6" w:rsidRDefault="00112CE6" w:rsidP="00112CE6">
      <w:r>
        <w:t xml:space="preserve">Figure S6. </w:t>
      </w:r>
      <w:r>
        <w:t>The BSS of various statistical-dynamical schemes using the Navy-ESPC</w:t>
      </w:r>
      <w:r>
        <w:t xml:space="preserve"> (1999-2015)</w:t>
      </w:r>
      <w:r>
        <w:t xml:space="preserve">. Predictors included in each scheme are shown in the key below the plot. </w:t>
      </w:r>
    </w:p>
    <w:p w:rsidR="007D6FD2" w:rsidRDefault="007D6FD2" w:rsidP="00296647"/>
    <w:sectPr w:rsidR="007D6F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yriad Pro">
    <w:altName w:val="Segoe U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647"/>
    <w:rsid w:val="00112CE6"/>
    <w:rsid w:val="00296647"/>
    <w:rsid w:val="00371B48"/>
    <w:rsid w:val="003C51A8"/>
    <w:rsid w:val="007476D0"/>
    <w:rsid w:val="007D6FD2"/>
    <w:rsid w:val="009E6A8D"/>
    <w:rsid w:val="00EC2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514010"/>
  <w15:chartTrackingRefBased/>
  <w15:docId w15:val="{742E02A2-EB91-42BA-984A-19C17A8F1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71B48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230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 Department of Defense</Company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Hansen, Dr. Kurt, Contractor, Code 7532</dc:creator>
  <cp:keywords/>
  <dc:description/>
  <cp:lastModifiedBy>Hansen, Dr. Kurt, Contractor, Code 7532</cp:lastModifiedBy>
  <cp:revision>2</cp:revision>
  <dcterms:created xsi:type="dcterms:W3CDTF">2025-01-07T20:36:00Z</dcterms:created>
  <dcterms:modified xsi:type="dcterms:W3CDTF">2025-01-08T19:24:00Z</dcterms:modified>
</cp:coreProperties>
</file>