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BBD16" w14:textId="77777777" w:rsidR="00E878BD" w:rsidRPr="000A5630" w:rsidRDefault="00E878BD" w:rsidP="00E878BD">
      <w:pPr>
        <w:pStyle w:val="BATitle"/>
      </w:pPr>
      <w:r w:rsidRPr="000A5630">
        <w:t>Quantifying UVC-Induced Aging of Microplastics Using a Multivariate Aging Score</w:t>
      </w:r>
    </w:p>
    <w:p w14:paraId="11F1C04C" w14:textId="77777777" w:rsidR="00E878BD" w:rsidRPr="000A5630" w:rsidRDefault="00E878BD" w:rsidP="00E878BD">
      <w:pPr>
        <w:pStyle w:val="BBAuthorName"/>
      </w:pPr>
      <w:r w:rsidRPr="000A5630">
        <w:t xml:space="preserve">Yingshu Leng </w:t>
      </w:r>
      <w:r w:rsidRPr="00DF4111">
        <w:rPr>
          <w:iCs/>
          <w:vertAlign w:val="superscript"/>
        </w:rPr>
        <w:t>1,2</w:t>
      </w:r>
      <w:r w:rsidRPr="000A5630">
        <w:t xml:space="preserve">, Daniel Prezgot </w:t>
      </w:r>
      <w:r w:rsidRPr="000A5630">
        <w:rPr>
          <w:vertAlign w:val="superscript"/>
        </w:rPr>
        <w:t>1</w:t>
      </w:r>
      <w:r w:rsidRPr="000A5630">
        <w:t xml:space="preserve">, Zygmunt J. Jakubek </w:t>
      </w:r>
      <w:r w:rsidRPr="000A5630">
        <w:rPr>
          <w:vertAlign w:val="superscript"/>
        </w:rPr>
        <w:t>1</w:t>
      </w:r>
      <w:r w:rsidRPr="000A5630">
        <w:t xml:space="preserve">, Xudong Cao </w:t>
      </w:r>
      <w:r w:rsidRPr="000A5630">
        <w:rPr>
          <w:vertAlign w:val="superscript"/>
        </w:rPr>
        <w:t>2,3</w:t>
      </w:r>
      <w:r w:rsidRPr="000A5630">
        <w:t xml:space="preserve">, Shan Zou </w:t>
      </w:r>
      <w:r w:rsidRPr="000A5630">
        <w:rPr>
          <w:vertAlign w:val="superscript"/>
        </w:rPr>
        <w:t>1</w:t>
      </w:r>
      <w:r w:rsidRPr="000A5630">
        <w:t>*</w:t>
      </w:r>
    </w:p>
    <w:p w14:paraId="026AEC25" w14:textId="77777777" w:rsidR="00E878BD" w:rsidRPr="007E3F29" w:rsidRDefault="00E878BD" w:rsidP="00E878BD">
      <w:pPr>
        <w:pStyle w:val="BCAuthorAddress"/>
        <w:rPr>
          <w:lang w:eastAsia="zh-CN"/>
        </w:rPr>
      </w:pPr>
    </w:p>
    <w:p w14:paraId="5AF1F452" w14:textId="77777777" w:rsidR="00E878BD" w:rsidRPr="00DF4111" w:rsidRDefault="00E878BD" w:rsidP="00E878BD">
      <w:pPr>
        <w:pStyle w:val="BCAuthorAddress"/>
      </w:pPr>
      <w:r w:rsidRPr="00DF4111">
        <w:rPr>
          <w:vertAlign w:val="superscript"/>
        </w:rPr>
        <w:t xml:space="preserve">1 </w:t>
      </w:r>
      <w:r w:rsidRPr="00DF4111">
        <w:t>Metrology Research Centre, National Research Council Canada, 100 Sussex Drive, Ottawa, Ontario K1A 0R6, Canada</w:t>
      </w:r>
    </w:p>
    <w:p w14:paraId="0F36E66E" w14:textId="77777777" w:rsidR="00E878BD" w:rsidRPr="00DF4111" w:rsidRDefault="00E878BD" w:rsidP="00E878BD">
      <w:pPr>
        <w:pStyle w:val="BCAuthorAddress"/>
      </w:pPr>
      <w:r w:rsidRPr="00DF4111">
        <w:rPr>
          <w:vertAlign w:val="superscript"/>
        </w:rPr>
        <w:t xml:space="preserve">2 </w:t>
      </w:r>
      <w:r w:rsidRPr="00DF4111">
        <w:t>Ottawa–Carleton Institute for Biomedical Engineering, University of Ottawa, 161 Louis Pasteur, Ottawa, Ontario K1N 6N5, Canada</w:t>
      </w:r>
    </w:p>
    <w:p w14:paraId="4832BF03" w14:textId="77777777" w:rsidR="00E878BD" w:rsidRPr="00DF4111" w:rsidRDefault="00E878BD" w:rsidP="00E878BD">
      <w:pPr>
        <w:pStyle w:val="BCAuthorAddress"/>
      </w:pPr>
      <w:r w:rsidRPr="00DF4111">
        <w:rPr>
          <w:vertAlign w:val="superscript"/>
        </w:rPr>
        <w:t xml:space="preserve">3 </w:t>
      </w:r>
      <w:r w:rsidRPr="00DF4111">
        <w:t>Department of Chemical and Biological Engineering, University of Ottawa, 161 Louis Pasteur, Ottawa, Ontario K1N 6N5, Canada</w:t>
      </w:r>
    </w:p>
    <w:p w14:paraId="0DDDA985" w14:textId="77777777" w:rsidR="00E878BD" w:rsidRPr="004F35B1" w:rsidRDefault="00E878BD" w:rsidP="00E878BD">
      <w:pPr>
        <w:pStyle w:val="AIReceivedDate"/>
      </w:pPr>
    </w:p>
    <w:p w14:paraId="00C4BF42" w14:textId="77777777" w:rsidR="00AF5378" w:rsidRPr="00DD6DBB" w:rsidRDefault="00AF5378" w:rsidP="00AF5378">
      <w:pPr>
        <w:pStyle w:val="FAAuthorInfoSubtitle"/>
      </w:pPr>
      <w:r w:rsidRPr="00DD6DBB">
        <w:t>Corresponding Author</w:t>
      </w:r>
    </w:p>
    <w:p w14:paraId="16E9E57A" w14:textId="77777777" w:rsidR="00AF5378" w:rsidRDefault="00AF5378" w:rsidP="00AF5378">
      <w:pPr>
        <w:pStyle w:val="FACorrespondingAuthorFootnote"/>
        <w:spacing w:after="240"/>
        <w:jc w:val="left"/>
      </w:pPr>
      <w:r>
        <w:t>*</w:t>
      </w:r>
      <w:r w:rsidRPr="004F35B1">
        <w:t>Dr. Shan Zou, Phone: 1-613-949-9675, Email: Shan.Zou@nrc-cnrc.gc.ca (ORCID: 0000-0002-2480-6821)</w:t>
      </w:r>
      <w:r>
        <w:rPr>
          <w:rFonts w:hint="eastAsia"/>
          <w:lang w:eastAsia="zh-CN"/>
        </w:rPr>
        <w:t xml:space="preserve"> </w:t>
      </w:r>
    </w:p>
    <w:p w14:paraId="31783AE0" w14:textId="77777777" w:rsidR="00E878BD" w:rsidRDefault="00E878BD">
      <w:pPr>
        <w:rPr>
          <w:lang w:val="en-GB"/>
        </w:rPr>
      </w:pPr>
    </w:p>
    <w:p w14:paraId="3AB7B725" w14:textId="651E295D" w:rsidR="00C0317C" w:rsidRDefault="004F5D1A" w:rsidP="00C0317C">
      <w:pPr>
        <w:pStyle w:val="VAFigureCaption"/>
        <w:jc w:val="center"/>
        <w:rPr>
          <w:b/>
        </w:rPr>
      </w:pPr>
      <w:r>
        <w:rPr>
          <w:b/>
          <w:noProof/>
        </w:rPr>
        <w:lastRenderedPageBreak/>
        <w:drawing>
          <wp:inline distT="0" distB="0" distL="0" distR="0" wp14:anchorId="20871FCA" wp14:editId="2DA53F80">
            <wp:extent cx="4078037" cy="5415516"/>
            <wp:effectExtent l="0" t="0" r="0" b="0"/>
            <wp:docPr id="86572176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7502" cy="5454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7FA4F74" w14:textId="0FEE7510" w:rsidR="003F22F0" w:rsidRPr="004F5D1A" w:rsidRDefault="00346FA6" w:rsidP="00C0317C">
      <w:pPr>
        <w:pStyle w:val="VAFigureCaption"/>
        <w:spacing w:line="360" w:lineRule="auto"/>
        <w:rPr>
          <w:b/>
          <w:sz w:val="20"/>
        </w:rPr>
      </w:pPr>
      <w:r w:rsidRPr="004F5D1A">
        <w:rPr>
          <w:b/>
          <w:sz w:val="20"/>
        </w:rPr>
        <w:t>Fig</w:t>
      </w:r>
      <w:r w:rsidR="004F5D1A" w:rsidRPr="004F5D1A">
        <w:rPr>
          <w:rFonts w:hint="eastAsia"/>
          <w:b/>
          <w:sz w:val="20"/>
          <w:lang w:eastAsia="zh-CN"/>
        </w:rPr>
        <w:t>.</w:t>
      </w:r>
      <w:r w:rsidRPr="004F5D1A">
        <w:rPr>
          <w:b/>
          <w:sz w:val="20"/>
        </w:rPr>
        <w:t xml:space="preserve"> S1 Optical images of PP materials </w:t>
      </w:r>
      <w:r w:rsidR="00C0317C" w:rsidRPr="004F5D1A">
        <w:rPr>
          <w:rFonts w:hint="eastAsia"/>
          <w:b/>
          <w:sz w:val="20"/>
          <w:lang w:eastAsia="zh-CN"/>
        </w:rPr>
        <w:t xml:space="preserve">cross sections </w:t>
      </w:r>
      <w:r w:rsidRPr="004F5D1A">
        <w:rPr>
          <w:b/>
          <w:sz w:val="20"/>
        </w:rPr>
        <w:t>and ATR-FTIR spectra collected at selected positions.</w:t>
      </w:r>
      <w:r w:rsidRPr="004F5D1A">
        <w:rPr>
          <w:rFonts w:hint="eastAsia"/>
          <w:b/>
          <w:sz w:val="20"/>
        </w:rPr>
        <w:t xml:space="preserve"> </w:t>
      </w:r>
      <w:r w:rsidRPr="004F5D1A">
        <w:rPr>
          <w:bCs/>
          <w:sz w:val="20"/>
        </w:rPr>
        <w:t>(</w:t>
      </w:r>
      <w:r w:rsidR="004F5D1A" w:rsidRPr="004F5D1A">
        <w:rPr>
          <w:rFonts w:hint="eastAsia"/>
          <w:bCs/>
          <w:sz w:val="20"/>
          <w:lang w:eastAsia="zh-CN"/>
        </w:rPr>
        <w:t>a</w:t>
      </w:r>
      <w:r w:rsidRPr="004F5D1A">
        <w:rPr>
          <w:bCs/>
          <w:sz w:val="20"/>
        </w:rPr>
        <w:t xml:space="preserve">) </w:t>
      </w:r>
      <w:r w:rsidR="00C0317C" w:rsidRPr="004F5D1A">
        <w:rPr>
          <w:rFonts w:hint="eastAsia"/>
          <w:bCs/>
          <w:sz w:val="20"/>
          <w:lang w:eastAsia="zh-CN"/>
        </w:rPr>
        <w:t>PPPB-L interior cross-section with five</w:t>
      </w:r>
      <w:r w:rsidRPr="004F5D1A">
        <w:rPr>
          <w:bCs/>
          <w:sz w:val="20"/>
        </w:rPr>
        <w:t xml:space="preserve"> sampling points</w:t>
      </w:r>
      <w:r w:rsidR="00C0317C" w:rsidRPr="004F5D1A">
        <w:rPr>
          <w:rFonts w:hint="eastAsia"/>
          <w:bCs/>
          <w:sz w:val="20"/>
          <w:lang w:eastAsia="zh-CN"/>
        </w:rPr>
        <w:t xml:space="preserve"> </w:t>
      </w:r>
      <w:r w:rsidRPr="004F5D1A">
        <w:rPr>
          <w:bCs/>
          <w:sz w:val="20"/>
        </w:rPr>
        <w:t>from the interior toward the UVC-exposed surface (red = point near the bottom face in contact with the bottle, orange = point near the directly exposed outer surface).</w:t>
      </w:r>
      <w:r w:rsidRPr="004F5D1A">
        <w:rPr>
          <w:rFonts w:hint="eastAsia"/>
          <w:bCs/>
          <w:sz w:val="20"/>
        </w:rPr>
        <w:t xml:space="preserve"> </w:t>
      </w:r>
      <w:r w:rsidRPr="004F5D1A">
        <w:rPr>
          <w:bCs/>
          <w:sz w:val="20"/>
        </w:rPr>
        <w:t>(</w:t>
      </w:r>
      <w:r w:rsidR="004F5D1A" w:rsidRPr="004F5D1A">
        <w:rPr>
          <w:rFonts w:hint="eastAsia"/>
          <w:bCs/>
          <w:sz w:val="20"/>
          <w:lang w:eastAsia="zh-CN"/>
        </w:rPr>
        <w:t>b</w:t>
      </w:r>
      <w:r w:rsidRPr="004F5D1A">
        <w:rPr>
          <w:bCs/>
          <w:sz w:val="20"/>
        </w:rPr>
        <w:t>) PPCT</w:t>
      </w:r>
      <w:r w:rsidR="00C0317C" w:rsidRPr="004F5D1A">
        <w:rPr>
          <w:rFonts w:hint="eastAsia"/>
          <w:bCs/>
          <w:sz w:val="20"/>
          <w:lang w:eastAsia="zh-CN"/>
        </w:rPr>
        <w:t>-L</w:t>
      </w:r>
      <w:r w:rsidRPr="004F5D1A">
        <w:rPr>
          <w:bCs/>
          <w:sz w:val="20"/>
        </w:rPr>
        <w:t xml:space="preserve"> </w:t>
      </w:r>
      <w:r w:rsidR="00C0317C" w:rsidRPr="004F5D1A">
        <w:rPr>
          <w:rFonts w:hint="eastAsia"/>
          <w:bCs/>
          <w:sz w:val="20"/>
          <w:lang w:eastAsia="zh-CN"/>
        </w:rPr>
        <w:t>interior</w:t>
      </w:r>
      <w:r w:rsidRPr="004F5D1A">
        <w:rPr>
          <w:bCs/>
          <w:sz w:val="20"/>
        </w:rPr>
        <w:t xml:space="preserve"> cross-section with two randomly selected points (red and blue).</w:t>
      </w:r>
      <w:r w:rsidRPr="004F5D1A">
        <w:rPr>
          <w:rFonts w:hint="eastAsia"/>
          <w:bCs/>
          <w:sz w:val="20"/>
        </w:rPr>
        <w:t xml:space="preserve"> </w:t>
      </w:r>
      <w:r w:rsidRPr="004F5D1A">
        <w:rPr>
          <w:bCs/>
          <w:sz w:val="20"/>
        </w:rPr>
        <w:t>(</w:t>
      </w:r>
      <w:r w:rsidR="004F5D1A" w:rsidRPr="004F5D1A">
        <w:rPr>
          <w:rFonts w:hint="eastAsia"/>
          <w:bCs/>
          <w:sz w:val="20"/>
          <w:lang w:eastAsia="zh-CN"/>
        </w:rPr>
        <w:t>c</w:t>
      </w:r>
      <w:r w:rsidRPr="004F5D1A">
        <w:rPr>
          <w:bCs/>
          <w:sz w:val="20"/>
        </w:rPr>
        <w:t>) PPCT</w:t>
      </w:r>
      <w:r w:rsidR="00C0317C" w:rsidRPr="004F5D1A">
        <w:rPr>
          <w:rFonts w:hint="eastAsia"/>
          <w:bCs/>
          <w:sz w:val="20"/>
          <w:lang w:eastAsia="zh-CN"/>
        </w:rPr>
        <w:t>-L</w:t>
      </w:r>
      <w:r w:rsidRPr="004F5D1A">
        <w:rPr>
          <w:bCs/>
          <w:sz w:val="20"/>
        </w:rPr>
        <w:t xml:space="preserve"> </w:t>
      </w:r>
      <w:r w:rsidR="00C0317C" w:rsidRPr="004F5D1A">
        <w:rPr>
          <w:rFonts w:hint="eastAsia"/>
          <w:bCs/>
          <w:sz w:val="20"/>
          <w:lang w:eastAsia="zh-CN"/>
        </w:rPr>
        <w:t>exterior</w:t>
      </w:r>
      <w:r w:rsidRPr="004F5D1A">
        <w:rPr>
          <w:bCs/>
          <w:sz w:val="20"/>
        </w:rPr>
        <w:t xml:space="preserve"> surface exposed to UVC, with two randomly selected surface points (red and blue).</w:t>
      </w:r>
      <w:r w:rsidRPr="004F5D1A">
        <w:rPr>
          <w:rFonts w:hint="eastAsia"/>
          <w:bCs/>
          <w:sz w:val="20"/>
        </w:rPr>
        <w:t xml:space="preserve"> </w:t>
      </w:r>
      <w:r w:rsidRPr="004F5D1A">
        <w:rPr>
          <w:bCs/>
          <w:sz w:val="20"/>
        </w:rPr>
        <w:t xml:space="preserve">Colored </w:t>
      </w:r>
      <w:r w:rsidR="00C0317C" w:rsidRPr="004F5D1A">
        <w:rPr>
          <w:rFonts w:hint="eastAsia"/>
          <w:bCs/>
          <w:sz w:val="20"/>
          <w:lang w:eastAsia="zh-CN"/>
        </w:rPr>
        <w:t>points</w:t>
      </w:r>
      <w:r w:rsidRPr="004F5D1A">
        <w:rPr>
          <w:bCs/>
          <w:sz w:val="20"/>
        </w:rPr>
        <w:t xml:space="preserve"> in the optical images correspond to the ATR-FTIR spectra </w:t>
      </w:r>
      <w:r w:rsidR="00C0317C" w:rsidRPr="004F5D1A">
        <w:rPr>
          <w:rFonts w:hint="eastAsia"/>
          <w:bCs/>
          <w:sz w:val="20"/>
          <w:lang w:eastAsia="zh-CN"/>
        </w:rPr>
        <w:t xml:space="preserve">of same color </w:t>
      </w:r>
      <w:r w:rsidRPr="004F5D1A">
        <w:rPr>
          <w:bCs/>
          <w:sz w:val="20"/>
        </w:rPr>
        <w:t xml:space="preserve">in the right panels. </w:t>
      </w:r>
      <w:r w:rsidR="00C0317C" w:rsidRPr="004F5D1A">
        <w:rPr>
          <w:bCs/>
          <w:sz w:val="20"/>
          <w:lang w:val="en-CA"/>
        </w:rPr>
        <w:t>These points indicate the sampling locations and do not represent the actual spatial extent of the ATR measurement.</w:t>
      </w:r>
      <w:r w:rsidR="00C0317C" w:rsidRPr="004F5D1A">
        <w:rPr>
          <w:rFonts w:hint="eastAsia"/>
          <w:bCs/>
          <w:sz w:val="20"/>
          <w:lang w:val="en-CA" w:eastAsia="zh-CN"/>
        </w:rPr>
        <w:t xml:space="preserve"> </w:t>
      </w:r>
      <w:r w:rsidRPr="004F5D1A">
        <w:rPr>
          <w:bCs/>
          <w:sz w:val="20"/>
        </w:rPr>
        <w:t>The blue dashed box highlights the carbonyl band region</w:t>
      </w:r>
    </w:p>
    <w:p w14:paraId="5C83D4BC" w14:textId="03BF6AB3" w:rsidR="00D26462" w:rsidRDefault="004F5D1A">
      <w:pPr>
        <w:rPr>
          <w:lang w:val="en-GB"/>
        </w:rPr>
      </w:pPr>
      <w:r w:rsidRPr="004F5D1A">
        <w:rPr>
          <w:noProof/>
          <w:lang w:val="en-GB"/>
        </w:rPr>
        <w:lastRenderedPageBreak/>
        <w:drawing>
          <wp:inline distT="0" distB="0" distL="0" distR="0" wp14:anchorId="4E96D78B" wp14:editId="30385ADD">
            <wp:extent cx="5628167" cy="3995509"/>
            <wp:effectExtent l="0" t="0" r="0" b="0"/>
            <wp:docPr id="16851410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27" t="5186" r="5943" b="46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2892" cy="39988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CA32AB" w14:textId="2E61DDB3" w:rsidR="00BB430A" w:rsidRPr="004F5D1A" w:rsidRDefault="008716B2" w:rsidP="004F5D1A">
      <w:pPr>
        <w:pStyle w:val="VAFigureCaption"/>
        <w:spacing w:line="360" w:lineRule="auto"/>
        <w:rPr>
          <w:rFonts w:ascii="Times New Roman" w:hAnsi="Times New Roman"/>
          <w:bCs/>
          <w:sz w:val="20"/>
        </w:rPr>
      </w:pPr>
      <w:r w:rsidRPr="004F5D1A">
        <w:rPr>
          <w:rFonts w:ascii="Times New Roman" w:hAnsi="Times New Roman"/>
          <w:b/>
          <w:sz w:val="20"/>
        </w:rPr>
        <w:t>Fig</w:t>
      </w:r>
      <w:r w:rsidR="004F5D1A" w:rsidRPr="004F5D1A">
        <w:rPr>
          <w:rFonts w:ascii="Times New Roman" w:hAnsi="Times New Roman"/>
          <w:b/>
          <w:sz w:val="20"/>
          <w:lang w:eastAsia="zh-CN"/>
        </w:rPr>
        <w:t xml:space="preserve">. </w:t>
      </w:r>
      <w:r w:rsidRPr="004F5D1A">
        <w:rPr>
          <w:rFonts w:ascii="Times New Roman" w:hAnsi="Times New Roman"/>
          <w:b/>
          <w:sz w:val="20"/>
        </w:rPr>
        <w:t>S</w:t>
      </w:r>
      <w:r w:rsidR="003F22F0" w:rsidRPr="004F5D1A">
        <w:rPr>
          <w:rFonts w:ascii="Times New Roman" w:hAnsi="Times New Roman"/>
          <w:b/>
          <w:sz w:val="20"/>
          <w:lang w:eastAsia="zh-CN"/>
        </w:rPr>
        <w:t>2</w:t>
      </w:r>
      <w:r w:rsidRPr="004F5D1A">
        <w:rPr>
          <w:rFonts w:ascii="Times New Roman" w:hAnsi="Times New Roman"/>
          <w:b/>
          <w:sz w:val="20"/>
        </w:rPr>
        <w:t xml:space="preserve"> </w:t>
      </w:r>
      <w:r w:rsidR="00AF7474" w:rsidRPr="004F5D1A">
        <w:rPr>
          <w:rFonts w:ascii="Times New Roman" w:hAnsi="Times New Roman"/>
          <w:bCs/>
          <w:sz w:val="20"/>
        </w:rPr>
        <w:t xml:space="preserve">MDSC thermograms of </w:t>
      </w:r>
      <w:r w:rsidR="00485ABE" w:rsidRPr="004F5D1A">
        <w:rPr>
          <w:rFonts w:ascii="Times New Roman" w:hAnsi="Times New Roman"/>
          <w:bCs/>
          <w:sz w:val="20"/>
          <w:lang w:eastAsia="zh-CN"/>
        </w:rPr>
        <w:t>(</w:t>
      </w:r>
      <w:r w:rsidR="004F5D1A" w:rsidRPr="004F5D1A">
        <w:rPr>
          <w:rFonts w:ascii="Times New Roman" w:hAnsi="Times New Roman"/>
          <w:bCs/>
          <w:sz w:val="20"/>
          <w:lang w:eastAsia="zh-CN"/>
        </w:rPr>
        <w:t>a</w:t>
      </w:r>
      <w:r w:rsidR="00485ABE" w:rsidRPr="004F5D1A">
        <w:rPr>
          <w:rFonts w:ascii="Times New Roman" w:hAnsi="Times New Roman"/>
          <w:bCs/>
          <w:sz w:val="20"/>
          <w:lang w:eastAsia="zh-CN"/>
        </w:rPr>
        <w:t xml:space="preserve">) </w:t>
      </w:r>
      <w:r w:rsidR="00AF7474" w:rsidRPr="004F5D1A">
        <w:rPr>
          <w:rFonts w:ascii="Times New Roman" w:hAnsi="Times New Roman"/>
          <w:bCs/>
          <w:sz w:val="20"/>
        </w:rPr>
        <w:t xml:space="preserve">PPCT and </w:t>
      </w:r>
      <w:r w:rsidR="00485ABE" w:rsidRPr="004F5D1A">
        <w:rPr>
          <w:rFonts w:ascii="Times New Roman" w:hAnsi="Times New Roman"/>
          <w:bCs/>
          <w:sz w:val="20"/>
          <w:lang w:eastAsia="zh-CN"/>
        </w:rPr>
        <w:t>(</w:t>
      </w:r>
      <w:r w:rsidR="004F5D1A" w:rsidRPr="004F5D1A">
        <w:rPr>
          <w:rFonts w:ascii="Times New Roman" w:hAnsi="Times New Roman"/>
          <w:bCs/>
          <w:sz w:val="20"/>
          <w:lang w:eastAsia="zh-CN"/>
        </w:rPr>
        <w:t>b</w:t>
      </w:r>
      <w:r w:rsidR="00485ABE" w:rsidRPr="004F5D1A">
        <w:rPr>
          <w:rFonts w:ascii="Times New Roman" w:hAnsi="Times New Roman"/>
          <w:bCs/>
          <w:sz w:val="20"/>
          <w:lang w:eastAsia="zh-CN"/>
        </w:rPr>
        <w:t xml:space="preserve">) </w:t>
      </w:r>
      <w:r w:rsidR="00AF7474" w:rsidRPr="004F5D1A">
        <w:rPr>
          <w:rFonts w:ascii="Times New Roman" w:hAnsi="Times New Roman"/>
          <w:bCs/>
          <w:sz w:val="20"/>
        </w:rPr>
        <w:t>PPPB in large</w:t>
      </w:r>
      <w:r w:rsidR="003F22F0" w:rsidRPr="004F5D1A">
        <w:rPr>
          <w:rFonts w:ascii="Times New Roman" w:hAnsi="Times New Roman"/>
          <w:bCs/>
          <w:sz w:val="20"/>
          <w:lang w:eastAsia="zh-CN"/>
        </w:rPr>
        <w:t xml:space="preserve"> (L)</w:t>
      </w:r>
      <w:r w:rsidR="00AF7474" w:rsidRPr="004F5D1A">
        <w:rPr>
          <w:rFonts w:ascii="Times New Roman" w:hAnsi="Times New Roman"/>
          <w:bCs/>
          <w:sz w:val="20"/>
        </w:rPr>
        <w:t>, medium</w:t>
      </w:r>
      <w:r w:rsidR="003F22F0" w:rsidRPr="004F5D1A">
        <w:rPr>
          <w:rFonts w:ascii="Times New Roman" w:hAnsi="Times New Roman"/>
          <w:bCs/>
          <w:sz w:val="20"/>
          <w:lang w:eastAsia="zh-CN"/>
        </w:rPr>
        <w:t xml:space="preserve"> (M)</w:t>
      </w:r>
      <w:r w:rsidR="00AF7474" w:rsidRPr="004F5D1A">
        <w:rPr>
          <w:rFonts w:ascii="Times New Roman" w:hAnsi="Times New Roman"/>
          <w:bCs/>
          <w:sz w:val="20"/>
        </w:rPr>
        <w:t xml:space="preserve">, and small </w:t>
      </w:r>
      <w:r w:rsidR="003F22F0" w:rsidRPr="004F5D1A">
        <w:rPr>
          <w:rFonts w:ascii="Times New Roman" w:hAnsi="Times New Roman"/>
          <w:bCs/>
          <w:sz w:val="20"/>
          <w:lang w:eastAsia="zh-CN"/>
        </w:rPr>
        <w:t xml:space="preserve">(S) </w:t>
      </w:r>
      <w:r w:rsidR="00AF7474" w:rsidRPr="004F5D1A">
        <w:rPr>
          <w:rFonts w:ascii="Times New Roman" w:hAnsi="Times New Roman"/>
          <w:bCs/>
          <w:sz w:val="20"/>
        </w:rPr>
        <w:t>size fractions at selected UVC exposures of 0, 38, and 60 MJ</w:t>
      </w:r>
      <w:r w:rsidR="00AF7474" w:rsidRPr="004F5D1A">
        <w:rPr>
          <w:rFonts w:ascii="Times New Roman" w:hAnsi="Times New Roman"/>
          <w:bCs/>
          <w:sz w:val="20"/>
          <w:lang w:eastAsia="zh-CN"/>
        </w:rPr>
        <w:t>/</w:t>
      </w:r>
      <w:r w:rsidR="00AF7474" w:rsidRPr="004F5D1A">
        <w:rPr>
          <w:rFonts w:ascii="Times New Roman" w:hAnsi="Times New Roman"/>
          <w:bCs/>
          <w:sz w:val="20"/>
        </w:rPr>
        <w:t>m</w:t>
      </w:r>
      <w:r w:rsidR="00AF7474" w:rsidRPr="004F5D1A">
        <w:rPr>
          <w:rFonts w:ascii="Times New Roman" w:hAnsi="Times New Roman"/>
          <w:bCs/>
          <w:sz w:val="20"/>
          <w:vertAlign w:val="superscript"/>
        </w:rPr>
        <w:t>2</w:t>
      </w:r>
    </w:p>
    <w:p w14:paraId="3FA0F1ED" w14:textId="2140C432" w:rsidR="00E878BD" w:rsidRDefault="004F5D1A" w:rsidP="00BB430A">
      <w:pPr>
        <w:jc w:val="center"/>
        <w:rPr>
          <w:lang w:val="en-GB"/>
        </w:rPr>
      </w:pPr>
      <w:r>
        <w:rPr>
          <w:noProof/>
          <w:lang w:val="en-GB"/>
        </w:rPr>
        <w:drawing>
          <wp:inline distT="0" distB="0" distL="0" distR="0" wp14:anchorId="7AC57E92" wp14:editId="6E2FEDD4">
            <wp:extent cx="4890977" cy="2475739"/>
            <wp:effectExtent l="0" t="0" r="5080" b="1270"/>
            <wp:docPr id="169434415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6777" cy="24837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3F91E22" w14:textId="1705EB9A" w:rsidR="004F5D1A" w:rsidRPr="004F5D1A" w:rsidRDefault="007C6AF9" w:rsidP="004F5D1A">
      <w:pPr>
        <w:pStyle w:val="VAFigureCaption"/>
        <w:spacing w:line="360" w:lineRule="auto"/>
        <w:rPr>
          <w:rFonts w:ascii="Times New Roman" w:hAnsi="Times New Roman"/>
          <w:bCs/>
          <w:sz w:val="20"/>
        </w:rPr>
      </w:pPr>
      <w:r w:rsidRPr="004F5D1A">
        <w:rPr>
          <w:rFonts w:ascii="Times New Roman" w:hAnsi="Times New Roman"/>
          <w:b/>
          <w:sz w:val="20"/>
        </w:rPr>
        <w:t>Fig</w:t>
      </w:r>
      <w:r w:rsidR="004F5D1A" w:rsidRPr="004F5D1A">
        <w:rPr>
          <w:rFonts w:ascii="Times New Roman" w:hAnsi="Times New Roman"/>
          <w:b/>
          <w:sz w:val="20"/>
          <w:lang w:eastAsia="zh-CN"/>
        </w:rPr>
        <w:t>.</w:t>
      </w:r>
      <w:r w:rsidRPr="004F5D1A">
        <w:rPr>
          <w:rFonts w:ascii="Times New Roman" w:hAnsi="Times New Roman"/>
          <w:b/>
          <w:sz w:val="20"/>
        </w:rPr>
        <w:t xml:space="preserve"> S</w:t>
      </w:r>
      <w:r w:rsidR="003F22F0" w:rsidRPr="004F5D1A">
        <w:rPr>
          <w:rFonts w:ascii="Times New Roman" w:hAnsi="Times New Roman"/>
          <w:b/>
          <w:sz w:val="20"/>
          <w:lang w:eastAsia="zh-CN"/>
        </w:rPr>
        <w:t>3</w:t>
      </w:r>
      <w:r w:rsidRPr="004F5D1A">
        <w:rPr>
          <w:rFonts w:ascii="Times New Roman" w:hAnsi="Times New Roman"/>
          <w:b/>
          <w:sz w:val="20"/>
        </w:rPr>
        <w:t xml:space="preserve"> </w:t>
      </w:r>
      <w:r w:rsidRPr="004F5D1A">
        <w:rPr>
          <w:rFonts w:ascii="Times New Roman" w:hAnsi="Times New Roman"/>
          <w:bCs/>
          <w:sz w:val="20"/>
        </w:rPr>
        <w:t>(</w:t>
      </w:r>
      <w:r w:rsidR="004F5D1A" w:rsidRPr="004F5D1A">
        <w:rPr>
          <w:rFonts w:ascii="Times New Roman" w:hAnsi="Times New Roman"/>
          <w:bCs/>
          <w:sz w:val="20"/>
          <w:lang w:eastAsia="zh-CN"/>
        </w:rPr>
        <w:t>a</w:t>
      </w:r>
      <w:r w:rsidRPr="004F5D1A">
        <w:rPr>
          <w:rFonts w:ascii="Times New Roman" w:hAnsi="Times New Roman"/>
          <w:bCs/>
          <w:sz w:val="20"/>
        </w:rPr>
        <w:t>) The loadings of the first 2 principal components (PC), demonstrating the contribution of each feature to the PC. PC1 is influenced by all features, but χc contributes the least, primarily contributing to PC 2. (</w:t>
      </w:r>
      <w:r w:rsidR="004F5D1A" w:rsidRPr="004F5D1A">
        <w:rPr>
          <w:rFonts w:ascii="Times New Roman" w:hAnsi="Times New Roman"/>
          <w:bCs/>
          <w:sz w:val="20"/>
          <w:lang w:eastAsia="zh-CN"/>
        </w:rPr>
        <w:t>b</w:t>
      </w:r>
      <w:r w:rsidRPr="004F5D1A">
        <w:rPr>
          <w:rFonts w:ascii="Times New Roman" w:hAnsi="Times New Roman"/>
          <w:bCs/>
          <w:sz w:val="20"/>
        </w:rPr>
        <w:t xml:space="preserve">) Scree plot of the PCA, demonstrating the explained variance with respect to each principal component. </w:t>
      </w:r>
      <w:proofErr w:type="gramStart"/>
      <w:r w:rsidRPr="004F5D1A">
        <w:rPr>
          <w:rFonts w:ascii="Times New Roman" w:hAnsi="Times New Roman"/>
          <w:bCs/>
          <w:sz w:val="20"/>
        </w:rPr>
        <w:t>The</w:t>
      </w:r>
      <w:r w:rsidR="00AD1906" w:rsidRPr="004F5D1A">
        <w:rPr>
          <w:rFonts w:ascii="Times New Roman" w:hAnsi="Times New Roman"/>
          <w:bCs/>
          <w:sz w:val="20"/>
        </w:rPr>
        <w:t xml:space="preserve"> </w:t>
      </w:r>
      <w:r w:rsidRPr="004F5D1A">
        <w:rPr>
          <w:rFonts w:ascii="Times New Roman" w:hAnsi="Times New Roman"/>
          <w:bCs/>
          <w:sz w:val="20"/>
        </w:rPr>
        <w:t>PC</w:t>
      </w:r>
      <w:proofErr w:type="gramEnd"/>
      <w:r w:rsidRPr="004F5D1A">
        <w:rPr>
          <w:rFonts w:ascii="Times New Roman" w:hAnsi="Times New Roman"/>
          <w:bCs/>
          <w:sz w:val="20"/>
        </w:rPr>
        <w:t xml:space="preserve"> 1 explains ~75% of the variance, followed by ~15% for PC 2. PC’s 3 and 4 explain &lt;10% of the </w:t>
      </w:r>
      <w:proofErr w:type="gramStart"/>
      <w:r w:rsidRPr="004F5D1A">
        <w:rPr>
          <w:rFonts w:ascii="Times New Roman" w:hAnsi="Times New Roman"/>
          <w:bCs/>
          <w:sz w:val="20"/>
        </w:rPr>
        <w:t>variance, and</w:t>
      </w:r>
      <w:proofErr w:type="gramEnd"/>
      <w:r w:rsidRPr="004F5D1A">
        <w:rPr>
          <w:rFonts w:ascii="Times New Roman" w:hAnsi="Times New Roman"/>
          <w:bCs/>
          <w:sz w:val="20"/>
        </w:rPr>
        <w:t xml:space="preserve"> have minimal impact.</w:t>
      </w:r>
    </w:p>
    <w:p w14:paraId="59981D92" w14:textId="4CCCD0E1" w:rsidR="00966F1E" w:rsidRDefault="007F23A4" w:rsidP="00BB430A">
      <w:pPr>
        <w:jc w:val="center"/>
      </w:pPr>
      <w:r>
        <w:rPr>
          <w:noProof/>
        </w:rPr>
        <w:lastRenderedPageBreak/>
        <w:drawing>
          <wp:inline distT="0" distB="0" distL="0" distR="0" wp14:anchorId="68761669" wp14:editId="1146E64B">
            <wp:extent cx="5943600" cy="2926715"/>
            <wp:effectExtent l="0" t="0" r="0" b="6985"/>
            <wp:docPr id="76634376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6343765" name="Picture 766343765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26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126FD0" w14:textId="2CB8D305" w:rsidR="00057D8F" w:rsidRPr="004F5D1A" w:rsidRDefault="00966F1E" w:rsidP="00BB430A">
      <w:pPr>
        <w:pStyle w:val="VAFigureCaption"/>
        <w:spacing w:line="360" w:lineRule="auto"/>
        <w:rPr>
          <w:rFonts w:ascii="Times New Roman" w:hAnsi="Times New Roman"/>
          <w:b/>
          <w:sz w:val="20"/>
        </w:rPr>
      </w:pPr>
      <w:r w:rsidRPr="004F5D1A">
        <w:rPr>
          <w:rFonts w:ascii="Times New Roman" w:hAnsi="Times New Roman"/>
          <w:b/>
          <w:sz w:val="20"/>
        </w:rPr>
        <w:t>Fig</w:t>
      </w:r>
      <w:r w:rsidR="004F5D1A" w:rsidRPr="004F5D1A">
        <w:rPr>
          <w:rFonts w:ascii="Times New Roman" w:hAnsi="Times New Roman"/>
          <w:b/>
          <w:sz w:val="20"/>
          <w:lang w:eastAsia="zh-CN"/>
        </w:rPr>
        <w:t>.</w:t>
      </w:r>
      <w:r w:rsidRPr="004F5D1A">
        <w:rPr>
          <w:rFonts w:ascii="Times New Roman" w:hAnsi="Times New Roman"/>
          <w:b/>
          <w:sz w:val="20"/>
        </w:rPr>
        <w:t xml:space="preserve"> S</w:t>
      </w:r>
      <w:r w:rsidR="008756C8" w:rsidRPr="004F5D1A">
        <w:rPr>
          <w:rFonts w:ascii="Times New Roman" w:hAnsi="Times New Roman"/>
          <w:b/>
          <w:sz w:val="20"/>
          <w:lang w:eastAsia="zh-CN"/>
        </w:rPr>
        <w:t>4</w:t>
      </w:r>
      <w:r w:rsidRPr="004F5D1A">
        <w:rPr>
          <w:rFonts w:ascii="Times New Roman" w:hAnsi="Times New Roman"/>
          <w:b/>
          <w:sz w:val="20"/>
        </w:rPr>
        <w:t xml:space="preserve"> </w:t>
      </w:r>
      <w:r w:rsidR="00057D8F" w:rsidRPr="004F5D1A">
        <w:rPr>
          <w:rFonts w:ascii="Times New Roman" w:hAnsi="Times New Roman"/>
          <w:bCs/>
          <w:sz w:val="20"/>
        </w:rPr>
        <w:t>(</w:t>
      </w:r>
      <w:r w:rsidR="004F5D1A" w:rsidRPr="004F5D1A">
        <w:rPr>
          <w:rFonts w:ascii="Times New Roman" w:hAnsi="Times New Roman"/>
          <w:bCs/>
          <w:sz w:val="20"/>
          <w:lang w:eastAsia="zh-CN"/>
        </w:rPr>
        <w:t>a</w:t>
      </w:r>
      <w:r w:rsidR="00057D8F" w:rsidRPr="004F5D1A">
        <w:rPr>
          <w:rFonts w:ascii="Times New Roman" w:hAnsi="Times New Roman"/>
          <w:bCs/>
          <w:sz w:val="20"/>
        </w:rPr>
        <w:t>) Principal component analysis of commercial microplastic powders of PE, PP, and PET. The degree of change in each measurement can be used to establish an aging score across different polymers.</w:t>
      </w:r>
      <w:r w:rsidR="000B376C" w:rsidRPr="004F5D1A">
        <w:rPr>
          <w:rFonts w:ascii="Times New Roman" w:hAnsi="Times New Roman"/>
          <w:bCs/>
          <w:sz w:val="20"/>
        </w:rPr>
        <w:t xml:space="preserve"> </w:t>
      </w:r>
      <w:r w:rsidR="000B376C" w:rsidRPr="007F23A4">
        <w:rPr>
          <w:rFonts w:ascii="Times New Roman" w:hAnsi="Times New Roman"/>
          <w:bCs/>
          <w:sz w:val="20"/>
        </w:rPr>
        <w:t>The red and blue points marked with stars represent environmental samples of PE and PP respectively,</w:t>
      </w:r>
      <w:r w:rsidR="000B376C" w:rsidRPr="004F5D1A">
        <w:rPr>
          <w:rFonts w:ascii="Times New Roman" w:hAnsi="Times New Roman"/>
          <w:bCs/>
          <w:sz w:val="20"/>
        </w:rPr>
        <w:t xml:space="preserve"> showing that their degree of change is consistent with the artificially aged samples.</w:t>
      </w:r>
      <w:r w:rsidR="00057D8F" w:rsidRPr="004F5D1A">
        <w:rPr>
          <w:rFonts w:ascii="Times New Roman" w:hAnsi="Times New Roman"/>
          <w:bCs/>
          <w:sz w:val="20"/>
        </w:rPr>
        <w:t xml:space="preserve"> (</w:t>
      </w:r>
      <w:r w:rsidR="004F5D1A" w:rsidRPr="004F5D1A">
        <w:rPr>
          <w:rFonts w:ascii="Times New Roman" w:hAnsi="Times New Roman"/>
          <w:bCs/>
          <w:sz w:val="20"/>
          <w:lang w:eastAsia="zh-CN"/>
        </w:rPr>
        <w:t>b</w:t>
      </w:r>
      <w:r w:rsidR="00057D8F" w:rsidRPr="004F5D1A">
        <w:rPr>
          <w:rFonts w:ascii="Times New Roman" w:hAnsi="Times New Roman"/>
          <w:bCs/>
          <w:sz w:val="20"/>
        </w:rPr>
        <w:t>) Aging score fitted for each plastic. The aging rate of PP was found to be much larger than that of PE and PET.</w:t>
      </w:r>
    </w:p>
    <w:p w14:paraId="7D4581C0" w14:textId="2E5827C6" w:rsidR="00966F1E" w:rsidRPr="00AD1906" w:rsidRDefault="00966F1E" w:rsidP="00AD1906">
      <w:pPr>
        <w:pStyle w:val="VAFigureCaption"/>
        <w:rPr>
          <w:b/>
        </w:rPr>
      </w:pPr>
    </w:p>
    <w:p w14:paraId="53B2F8D5" w14:textId="77777777" w:rsidR="007C6AF9" w:rsidRDefault="007C6AF9" w:rsidP="007C6AF9"/>
    <w:p w14:paraId="010275B5" w14:textId="77777777" w:rsidR="007C6AF9" w:rsidRPr="007C6AF9" w:rsidRDefault="007C6AF9" w:rsidP="007C6AF9"/>
    <w:p w14:paraId="20AF1BAB" w14:textId="3443BB50" w:rsidR="007C6AF9" w:rsidRPr="007C6AF9" w:rsidRDefault="007C6AF9"/>
    <w:sectPr w:rsidR="007C6AF9" w:rsidRPr="007C6A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87B"/>
    <w:rsid w:val="00057D8F"/>
    <w:rsid w:val="000B376C"/>
    <w:rsid w:val="00104B16"/>
    <w:rsid w:val="002842F7"/>
    <w:rsid w:val="00346FA6"/>
    <w:rsid w:val="003F22F0"/>
    <w:rsid w:val="00406737"/>
    <w:rsid w:val="00485ABE"/>
    <w:rsid w:val="004F5D1A"/>
    <w:rsid w:val="00603D4D"/>
    <w:rsid w:val="007C6AF9"/>
    <w:rsid w:val="007F23A4"/>
    <w:rsid w:val="008620E5"/>
    <w:rsid w:val="008716B2"/>
    <w:rsid w:val="008756C8"/>
    <w:rsid w:val="00966F1E"/>
    <w:rsid w:val="00AD1906"/>
    <w:rsid w:val="00AF5378"/>
    <w:rsid w:val="00AF7474"/>
    <w:rsid w:val="00BB430A"/>
    <w:rsid w:val="00BD4055"/>
    <w:rsid w:val="00C0317C"/>
    <w:rsid w:val="00C85879"/>
    <w:rsid w:val="00D26462"/>
    <w:rsid w:val="00E878BD"/>
    <w:rsid w:val="00EE5438"/>
    <w:rsid w:val="00EF1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DF5DB8"/>
  <w15:chartTrackingRefBased/>
  <w15:docId w15:val="{D8C6E65E-E7B4-414B-B450-0E3589202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F18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F18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F18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F18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F18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F18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F18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F18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F18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18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F18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F18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F18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F18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F18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F18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F18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F18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F18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18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F18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F18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F18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F18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F18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F18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F18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F18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F187B"/>
    <w:rPr>
      <w:b/>
      <w:bCs/>
      <w:smallCaps/>
      <w:color w:val="0F4761" w:themeColor="accent1" w:themeShade="BF"/>
      <w:spacing w:val="5"/>
    </w:rPr>
  </w:style>
  <w:style w:type="paragraph" w:customStyle="1" w:styleId="BATitle">
    <w:name w:val="BA_Title"/>
    <w:basedOn w:val="Normal"/>
    <w:next w:val="BBAuthorName"/>
    <w:rsid w:val="00E878BD"/>
    <w:pPr>
      <w:spacing w:before="720" w:after="360" w:line="480" w:lineRule="auto"/>
      <w:jc w:val="center"/>
    </w:pPr>
    <w:rPr>
      <w:rFonts w:ascii="Times New Roman" w:hAnsi="Times New Roman" w:cs="Times New Roman"/>
      <w:kern w:val="0"/>
      <w:sz w:val="44"/>
      <w:szCs w:val="20"/>
      <w:lang w:val="en-US" w:eastAsia="en-US"/>
      <w14:ligatures w14:val="none"/>
    </w:rPr>
  </w:style>
  <w:style w:type="paragraph" w:customStyle="1" w:styleId="BBAuthorName">
    <w:name w:val="BB_Author_Name"/>
    <w:basedOn w:val="Normal"/>
    <w:next w:val="BCAuthorAddress"/>
    <w:rsid w:val="00E878BD"/>
    <w:pPr>
      <w:spacing w:after="240" w:line="480" w:lineRule="auto"/>
      <w:jc w:val="center"/>
    </w:pPr>
    <w:rPr>
      <w:rFonts w:ascii="Times" w:hAnsi="Times" w:cs="Times New Roman"/>
      <w:i/>
      <w:kern w:val="0"/>
      <w:szCs w:val="20"/>
      <w:lang w:val="en-US" w:eastAsia="en-US"/>
      <w14:ligatures w14:val="none"/>
    </w:rPr>
  </w:style>
  <w:style w:type="paragraph" w:customStyle="1" w:styleId="BCAuthorAddress">
    <w:name w:val="BC_Author_Address"/>
    <w:basedOn w:val="Normal"/>
    <w:next w:val="BIEmailAddress"/>
    <w:rsid w:val="00E878BD"/>
    <w:pPr>
      <w:spacing w:after="240" w:line="480" w:lineRule="auto"/>
      <w:jc w:val="center"/>
    </w:pPr>
    <w:rPr>
      <w:rFonts w:ascii="Times" w:hAnsi="Times" w:cs="Times New Roman"/>
      <w:kern w:val="0"/>
      <w:szCs w:val="20"/>
      <w:lang w:val="en-US" w:eastAsia="en-US"/>
      <w14:ligatures w14:val="none"/>
    </w:rPr>
  </w:style>
  <w:style w:type="paragraph" w:customStyle="1" w:styleId="BIEmailAddress">
    <w:name w:val="BI_Email_Address"/>
    <w:basedOn w:val="Normal"/>
    <w:next w:val="AIReceivedDate"/>
    <w:rsid w:val="00E878BD"/>
    <w:pPr>
      <w:spacing w:after="200" w:line="480" w:lineRule="auto"/>
      <w:jc w:val="both"/>
    </w:pPr>
    <w:rPr>
      <w:rFonts w:ascii="Times" w:hAnsi="Times" w:cs="Times New Roman"/>
      <w:kern w:val="0"/>
      <w:szCs w:val="20"/>
      <w:lang w:val="en-US" w:eastAsia="en-US"/>
      <w14:ligatures w14:val="none"/>
    </w:rPr>
  </w:style>
  <w:style w:type="paragraph" w:customStyle="1" w:styleId="AIReceivedDate">
    <w:name w:val="AI_Received_Date"/>
    <w:basedOn w:val="Normal"/>
    <w:next w:val="Normal"/>
    <w:rsid w:val="00E878BD"/>
    <w:pPr>
      <w:spacing w:after="240" w:line="480" w:lineRule="auto"/>
      <w:jc w:val="both"/>
    </w:pPr>
    <w:rPr>
      <w:rFonts w:ascii="Times" w:hAnsi="Times" w:cs="Times New Roman"/>
      <w:b/>
      <w:kern w:val="0"/>
      <w:szCs w:val="20"/>
      <w:lang w:val="en-US" w:eastAsia="en-US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7C6A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VAFigureCaption">
    <w:name w:val="VA_Figure_Caption"/>
    <w:basedOn w:val="Normal"/>
    <w:next w:val="Normal"/>
    <w:rsid w:val="00AD1906"/>
    <w:pPr>
      <w:spacing w:after="200" w:line="480" w:lineRule="auto"/>
      <w:jc w:val="both"/>
    </w:pPr>
    <w:rPr>
      <w:rFonts w:ascii="Times" w:hAnsi="Times" w:cs="Times New Roman"/>
      <w:kern w:val="0"/>
      <w:szCs w:val="20"/>
      <w:lang w:val="en-US" w:eastAsia="en-US"/>
      <w14:ligatures w14:val="none"/>
    </w:rPr>
  </w:style>
  <w:style w:type="paragraph" w:customStyle="1" w:styleId="FACorrespondingAuthorFootnote">
    <w:name w:val="FA_Corresponding_Author_Footnote"/>
    <w:basedOn w:val="Normal"/>
    <w:next w:val="Normal"/>
    <w:rsid w:val="00AF5378"/>
    <w:pPr>
      <w:spacing w:after="200" w:line="480" w:lineRule="auto"/>
      <w:jc w:val="both"/>
    </w:pPr>
    <w:rPr>
      <w:rFonts w:ascii="Times" w:hAnsi="Times" w:cs="Times New Roman"/>
      <w:kern w:val="0"/>
      <w:szCs w:val="20"/>
      <w:lang w:val="en-US" w:eastAsia="en-US"/>
      <w14:ligatures w14:val="none"/>
    </w:rPr>
  </w:style>
  <w:style w:type="paragraph" w:customStyle="1" w:styleId="FAAuthorInfoSubtitle">
    <w:name w:val="FA_Author_Info_Subtitle"/>
    <w:basedOn w:val="Normal"/>
    <w:link w:val="FAAuthorInfoSubtitleChar"/>
    <w:autoRedefine/>
    <w:rsid w:val="00AF5378"/>
    <w:pPr>
      <w:spacing w:before="120" w:after="60" w:line="480" w:lineRule="auto"/>
    </w:pPr>
    <w:rPr>
      <w:rFonts w:ascii="Times" w:hAnsi="Times" w:cs="Times New Roman"/>
      <w:b/>
      <w:kern w:val="0"/>
      <w:szCs w:val="20"/>
      <w:lang w:val="en-US" w:eastAsia="en-US"/>
      <w14:ligatures w14:val="none"/>
    </w:rPr>
  </w:style>
  <w:style w:type="character" w:customStyle="1" w:styleId="FAAuthorInfoSubtitleChar">
    <w:name w:val="FA_Author_Info_Subtitle Char"/>
    <w:link w:val="FAAuthorInfoSubtitle"/>
    <w:rsid w:val="00AF5378"/>
    <w:rPr>
      <w:rFonts w:ascii="Times" w:hAnsi="Times" w:cs="Times New Roman"/>
      <w:b/>
      <w:kern w:val="0"/>
      <w:szCs w:val="20"/>
      <w:lang w:val="en-US" w:eastAsia="en-US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BD40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D40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D405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40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405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emf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387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Yingshu Leng</dc:creator>
  <cp:keywords/>
  <dc:description/>
  <cp:lastModifiedBy>Yingshu Leng</cp:lastModifiedBy>
  <cp:revision>7</cp:revision>
  <dcterms:created xsi:type="dcterms:W3CDTF">2025-12-01T20:50:00Z</dcterms:created>
  <dcterms:modified xsi:type="dcterms:W3CDTF">2026-01-21T21:59:00Z</dcterms:modified>
</cp:coreProperties>
</file>