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62DEB" w14:textId="6164A256" w:rsidR="0057240C" w:rsidRDefault="000D6B0B" w:rsidP="002B3D8B">
      <w:pPr>
        <w:pStyle w:val="SIHeading1"/>
      </w:pPr>
      <w:bookmarkStart w:id="0" w:name="_GoBack"/>
      <w:bookmarkEnd w:id="0"/>
      <w:r>
        <w:t xml:space="preserve">Supplementary </w:t>
      </w:r>
      <w:r w:rsidR="002B3D8B">
        <w:t xml:space="preserve">discussion and data for “Size-dependent mass absorption cross section of soot from various sources” </w:t>
      </w:r>
    </w:p>
    <w:p w14:paraId="7A2D02AF" w14:textId="72F02C2D" w:rsidR="00454313" w:rsidRDefault="000F1E49" w:rsidP="000F1E49">
      <w:pPr>
        <w:pStyle w:val="Paragraph"/>
      </w:pPr>
      <w:r>
        <w:t>This supplementary information contains</w:t>
      </w:r>
      <w:r w:rsidR="002B3D8B">
        <w:t xml:space="preserve"> supplementary information for </w:t>
      </w:r>
      <w:hyperlink r:id="rId8" w:history="1">
        <w:r w:rsidR="002B3D8B" w:rsidRPr="007F1CE2">
          <w:rPr>
            <w:rStyle w:val="Hyperlink"/>
          </w:rPr>
          <w:t>http://dx.doi.org/10.1016/j.carbon.2022.02.037</w:t>
        </w:r>
      </w:hyperlink>
      <w:r w:rsidR="00454313">
        <w:t>:</w:t>
      </w:r>
    </w:p>
    <w:p w14:paraId="7987D525" w14:textId="3878ED54" w:rsidR="00454313" w:rsidRDefault="00454313" w:rsidP="00454313">
      <w:pPr>
        <w:pStyle w:val="Paragraph"/>
        <w:numPr>
          <w:ilvl w:val="0"/>
          <w:numId w:val="46"/>
        </w:numPr>
      </w:pPr>
      <w:r>
        <w:t xml:space="preserve">Additional text on data analysis </w:t>
      </w:r>
    </w:p>
    <w:p w14:paraId="7F157075" w14:textId="77F2BEC6" w:rsidR="00454313" w:rsidRDefault="00454313" w:rsidP="00454313">
      <w:pPr>
        <w:pStyle w:val="Paragraph"/>
        <w:numPr>
          <w:ilvl w:val="0"/>
          <w:numId w:val="46"/>
        </w:numPr>
      </w:pPr>
      <w:r>
        <w:t>A</w:t>
      </w:r>
      <w:r w:rsidR="000F1E49">
        <w:t xml:space="preserve">dditional </w:t>
      </w:r>
      <w:r>
        <w:t xml:space="preserve">tables from </w:t>
      </w:r>
      <w:r w:rsidR="005A2513">
        <w:t xml:space="preserve">our </w:t>
      </w:r>
      <w:r w:rsidR="000F1E49">
        <w:t xml:space="preserve">literature review of MAC measurements </w:t>
      </w:r>
    </w:p>
    <w:p w14:paraId="6EEC231F" w14:textId="22FE3E76" w:rsidR="000F1E49" w:rsidRDefault="00454313" w:rsidP="00454313">
      <w:pPr>
        <w:pStyle w:val="Paragraph"/>
        <w:numPr>
          <w:ilvl w:val="0"/>
          <w:numId w:val="46"/>
        </w:numPr>
      </w:pPr>
      <w:r>
        <w:t xml:space="preserve">Additional </w:t>
      </w:r>
      <w:r w:rsidR="000F1E49">
        <w:t>visualizati</w:t>
      </w:r>
      <w:r>
        <w:t>ons of our analysis and results</w:t>
      </w:r>
    </w:p>
    <w:p w14:paraId="18D1FBF6" w14:textId="77777777" w:rsidR="00454313" w:rsidRPr="00454313" w:rsidRDefault="00454313" w:rsidP="00454313">
      <w:pPr>
        <w:pStyle w:val="Newparagraph"/>
      </w:pPr>
    </w:p>
    <w:p w14:paraId="5AC42C45" w14:textId="184E07FC" w:rsidR="00454313" w:rsidRPr="002F2AE6" w:rsidRDefault="00E95D89" w:rsidP="002F2AE6">
      <w:pPr>
        <w:pStyle w:val="SIHeading2"/>
      </w:pPr>
      <w:bookmarkStart w:id="1" w:name="_Ref72852048"/>
      <w:bookmarkStart w:id="2" w:name="_Ref86236388"/>
      <w:r>
        <w:t>Additional details on a</w:t>
      </w:r>
      <w:bookmarkEnd w:id="1"/>
      <w:r>
        <w:t xml:space="preserve">verage </w:t>
      </w:r>
      <w:r w:rsidR="00914A4E">
        <w:t xml:space="preserve">UDAC-CPMA </w:t>
      </w:r>
      <w:r>
        <w:t>single-particle mass calculation</w:t>
      </w:r>
      <w:bookmarkEnd w:id="2"/>
    </w:p>
    <w:p w14:paraId="19113884" w14:textId="7DB5819B" w:rsidR="00914A4E" w:rsidRDefault="00914A4E" w:rsidP="00454313">
      <w:r>
        <w:t>The conceptual basis for the average UDAC-CPMA single-particle mass calculations was outlined in Section </w:t>
      </w:r>
      <w:r w:rsidR="003E052F">
        <w:t xml:space="preserve">2.6. </w:t>
      </w:r>
      <w:r>
        <w:t xml:space="preserve">Here we provide some additional discussion of both approaches. </w:t>
      </w:r>
    </w:p>
    <w:p w14:paraId="46534FCA" w14:textId="77777777" w:rsidR="00914A4E" w:rsidRDefault="00914A4E" w:rsidP="00454313"/>
    <w:p w14:paraId="7770FEDC" w14:textId="2F6BF3C5" w:rsidR="00454313" w:rsidRDefault="00454313" w:rsidP="00454313">
      <w:r>
        <w:t>The iterative</w:t>
      </w:r>
      <w:r w:rsidR="00914A4E">
        <w:t>-average-charge</w:t>
      </w:r>
      <w:r w:rsidR="00D43F34">
        <w:t xml:space="preserve"> (IAC)</w:t>
      </w:r>
      <w:r w:rsidR="00914A4E">
        <w:t xml:space="preserve"> </w:t>
      </w:r>
      <w:r w:rsidR="00F066DB">
        <w:t>approach (</w:t>
      </w:r>
      <w:r w:rsidR="003E052F">
        <w:t xml:space="preserve">Figure </w:t>
      </w:r>
      <w:r w:rsidR="003E052F">
        <w:rPr>
          <w:noProof/>
        </w:rPr>
        <w:t>2</w:t>
      </w:r>
      <w:r w:rsidR="00F066DB">
        <w:t>a)</w:t>
      </w:r>
      <w:r>
        <w:t xml:space="preserve"> estimated the average single-particle mass classified by the CPMA,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m:t>
                </m:r>
              </m:sub>
            </m:sSub>
          </m:e>
        </m:acc>
      </m:oMath>
      <w:r w:rsidR="009B5530">
        <w:t xml:space="preserve"> or simply </w:t>
      </w:r>
      <m:oMath>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m:t>
        </m:r>
      </m:oMath>
      <w:r>
        <w:t xml:space="preserve"> by iteratively solving</w:t>
      </w:r>
    </w:p>
    <w:p w14:paraId="44EE3582" w14:textId="77777777" w:rsidR="00454313" w:rsidRPr="00F61493" w:rsidRDefault="00454313" w:rsidP="00454313">
      <w:pPr>
        <w:pStyle w:val="Newparagraph"/>
      </w:pPr>
    </w:p>
    <w:tbl>
      <w:tblPr>
        <w:tblStyle w:val="TableGrid"/>
        <w:tblW w:w="0" w:type="auto"/>
        <w:jc w:val="center"/>
        <w:tblLook w:val="04A0" w:firstRow="1" w:lastRow="0" w:firstColumn="1" w:lastColumn="0" w:noHBand="0" w:noVBand="1"/>
      </w:tblPr>
      <w:tblGrid>
        <w:gridCol w:w="704"/>
        <w:gridCol w:w="6946"/>
        <w:gridCol w:w="839"/>
      </w:tblGrid>
      <w:tr w:rsidR="00454313" w14:paraId="1B9332DB" w14:textId="77777777" w:rsidTr="00203E1D">
        <w:trPr>
          <w:jc w:val="center"/>
        </w:trPr>
        <w:tc>
          <w:tcPr>
            <w:tcW w:w="704" w:type="dxa"/>
            <w:tcBorders>
              <w:top w:val="nil"/>
              <w:left w:val="nil"/>
              <w:bottom w:val="nil"/>
              <w:right w:val="nil"/>
            </w:tcBorders>
          </w:tcPr>
          <w:p w14:paraId="0187922C" w14:textId="77777777" w:rsidR="00454313" w:rsidRDefault="00454313" w:rsidP="00203E1D">
            <w:pPr>
              <w:pStyle w:val="Newparagraph"/>
              <w:ind w:firstLine="0"/>
              <w:jc w:val="center"/>
            </w:pPr>
          </w:p>
        </w:tc>
        <w:tc>
          <w:tcPr>
            <w:tcW w:w="6946" w:type="dxa"/>
            <w:tcBorders>
              <w:top w:val="nil"/>
              <w:left w:val="nil"/>
              <w:bottom w:val="nil"/>
              <w:right w:val="nil"/>
            </w:tcBorders>
          </w:tcPr>
          <w:p w14:paraId="48FF6293" w14:textId="004D7A6A" w:rsidR="00454313" w:rsidRDefault="00CC289F" w:rsidP="005A2513">
            <w:pPr>
              <w:pStyle w:val="Newparagraph"/>
              <w:ind w:firstLine="0"/>
              <w:jc w:val="cente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p,k+1</m:t>
                        </m:r>
                      </m:sub>
                    </m:sSub>
                  </m:e>
                </m:acc>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r>
                  <w:rPr>
                    <w:rFonts w:ascii="Cambria Math" w:hAnsi="Cambria Math"/>
                  </w:rPr>
                  <m:t>×</m:t>
                </m:r>
                <m:acc>
                  <m:accPr>
                    <m:chr m:val="̅"/>
                    <m:ctrlPr>
                      <w:rPr>
                        <w:rFonts w:ascii="Cambria Math" w:hAnsi="Cambria Math"/>
                        <w:i/>
                      </w:rPr>
                    </m:ctrlPr>
                  </m:accPr>
                  <m:e>
                    <m:r>
                      <w:rPr>
                        <w:rFonts w:ascii="Cambria Math" w:hAnsi="Cambria Math"/>
                      </w:rPr>
                      <m:t>q</m:t>
                    </m:r>
                  </m:e>
                </m:acc>
                <m:r>
                  <w:rPr>
                    <w:rFonts w:ascii="Cambria Math" w:hAnsi="Cambria Math"/>
                  </w:rPr>
                  <m:t>=</m:t>
                </m:r>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F</m:t>
                    </m:r>
                  </m:sub>
                </m:sSub>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C</m:t>
                        </m:r>
                      </m:sub>
                    </m:sSub>
                    <m:d>
                      <m:dPr>
                        <m:begChr m:val="["/>
                        <m:endChr m:val="]"/>
                        <m:ctrlPr>
                          <w:rPr>
                            <w:rFonts w:ascii="Cambria Math" w:hAnsi="Cambria Math"/>
                            <w:i/>
                          </w:rPr>
                        </m:ctrlPr>
                      </m:dPr>
                      <m:e>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e>
                    </m:d>
                  </m:e>
                </m:d>
              </m:oMath>
            </m:oMathPara>
          </w:p>
        </w:tc>
        <w:tc>
          <w:tcPr>
            <w:tcW w:w="839" w:type="dxa"/>
            <w:tcBorders>
              <w:top w:val="nil"/>
              <w:left w:val="nil"/>
              <w:bottom w:val="nil"/>
              <w:right w:val="nil"/>
            </w:tcBorders>
          </w:tcPr>
          <w:p w14:paraId="08756AE9" w14:textId="75D7F503" w:rsidR="00454313" w:rsidRDefault="002B4A52" w:rsidP="00203E1D">
            <w:pPr>
              <w:pStyle w:val="Newparagraph"/>
              <w:ind w:firstLine="0"/>
              <w:jc w:val="center"/>
            </w:pPr>
            <w:bookmarkStart w:id="3" w:name="_Ref84407545"/>
            <w:r>
              <w:rPr>
                <w:noProof/>
              </w:rPr>
              <w:t>S</w:t>
            </w:r>
            <w:r w:rsidR="003E052F">
              <w:rPr>
                <w:noProof/>
              </w:rPr>
              <w:t>1</w:t>
            </w:r>
            <w:bookmarkEnd w:id="3"/>
          </w:p>
        </w:tc>
      </w:tr>
    </w:tbl>
    <w:p w14:paraId="7912B699" w14:textId="77777777" w:rsidR="00454313" w:rsidRDefault="00454313" w:rsidP="00454313"/>
    <w:p w14:paraId="5DF410E1" w14:textId="0736BED6" w:rsidR="00454313" w:rsidRDefault="00454313" w:rsidP="00454313">
      <w:r>
        <w:t xml:space="preserve">Where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oMath>
      <w:r>
        <w:t xml:space="preserve"> and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p,k+1</m:t>
                </m:r>
              </m:sub>
            </m:sSub>
          </m:e>
        </m:acc>
      </m:oMath>
      <w:r>
        <w:t xml:space="preserve"> are initial and improved estimates of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BC6FB1" w:rsidRPr="00BC6FB1">
        <w:t xml:space="preserve"> </w:t>
      </w:r>
      <w:r w:rsidR="00BC6FB1" w:rsidRPr="005224DA">
        <w:t>and</w:t>
      </w:r>
      <w:r>
        <w:t xml:space="preserve"> </w:t>
      </w:r>
      <m:oMath>
        <m:acc>
          <m:accPr>
            <m:chr m:val="̅"/>
            <m:ctrlPr>
              <w:rPr>
                <w:rFonts w:ascii="Cambria Math" w:hAnsi="Cambria Math"/>
                <w:i/>
              </w:rPr>
            </m:ctrlPr>
          </m:accPr>
          <m:e>
            <m:r>
              <w:rPr>
                <w:rFonts w:ascii="Cambria Math" w:hAnsi="Cambria Math"/>
              </w:rPr>
              <m:t>q</m:t>
            </m:r>
          </m:e>
        </m:acc>
      </m:oMath>
      <w:r w:rsidR="00BC6FB1">
        <w:t xml:space="preserve"> is the average charge for a particle of mass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oMath>
      <w:r>
        <w:t xml:space="preserve"> </w:t>
      </w:r>
      <w:r w:rsidR="00BC6FB1">
        <w:t xml:space="preserve">predicted using </w:t>
      </w:r>
      <w:r>
        <w:t xml:space="preserve">the Fuchs charging model </w:t>
      </w:r>
      <w:r w:rsidR="00F900DB" w:rsidRPr="00F900DB">
        <w:rPr>
          <w:noProof/>
        </w:rPr>
        <w:t>[60]</w:t>
      </w:r>
      <w:r w:rsidR="00BC6FB1">
        <w:t>. The Fuchs model</w:t>
      </w:r>
      <w:r>
        <w:t xml:space="preserve"> </w:t>
      </w:r>
      <w:r w:rsidR="00BC6FB1">
        <w:t xml:space="preserve">requires a diameter rather than a mass as input; this </w:t>
      </w:r>
      <w:r w:rsidR="0081148E">
        <w:t xml:space="preserve">charging diameter </w:t>
      </w:r>
      <m:oMath>
        <m:sSub>
          <m:sSubPr>
            <m:ctrlPr>
              <w:rPr>
                <w:rFonts w:ascii="Cambria Math" w:hAnsi="Cambria Math"/>
                <w:i/>
              </w:rPr>
            </m:ctrlPr>
          </m:sSubPr>
          <m:e>
            <m:r>
              <w:rPr>
                <w:rFonts w:ascii="Cambria Math" w:hAnsi="Cambria Math"/>
              </w:rPr>
              <m:t>d</m:t>
            </m:r>
          </m:e>
          <m:sub>
            <m:r>
              <m:rPr>
                <m:sty m:val="p"/>
              </m:rPr>
              <w:rPr>
                <w:rFonts w:ascii="Cambria Math" w:hAnsi="Cambria Math"/>
              </w:rPr>
              <m:t>C</m:t>
            </m:r>
          </m:sub>
        </m:sSub>
      </m:oMath>
      <w:r w:rsidR="00BC6FB1">
        <w:t xml:space="preserve"> was </w:t>
      </w:r>
      <w:r w:rsidR="009B5530">
        <w:t xml:space="preserve">assumed to be equivalent </w:t>
      </w:r>
      <w:proofErr w:type="gramStart"/>
      <w:r w:rsidR="009B5530">
        <w:t xml:space="preserve">to </w:t>
      </w:r>
      <w:proofErr w:type="gramEnd"/>
      <m:oMath>
        <m:sSub>
          <m:sSubPr>
            <m:ctrlPr>
              <w:rPr>
                <w:rFonts w:ascii="Cambria Math" w:hAnsi="Cambria Math"/>
                <w:i/>
              </w:rPr>
            </m:ctrlPr>
          </m:sSubPr>
          <m:e>
            <m:r>
              <w:rPr>
                <w:rFonts w:ascii="Cambria Math" w:hAnsi="Cambria Math"/>
              </w:rPr>
              <m:t>d</m:t>
            </m:r>
          </m:e>
          <m:sub>
            <m:r>
              <w:rPr>
                <w:rFonts w:ascii="Cambria Math" w:hAnsi="Cambria Math"/>
              </w:rPr>
              <m:t>m</m:t>
            </m:r>
          </m:sub>
        </m:sSub>
      </m:oMath>
      <w:r w:rsidR="009B5530">
        <w:t xml:space="preserve">, with </w:t>
      </w:r>
      <m:oMath>
        <m:sSub>
          <m:sSubPr>
            <m:ctrlPr>
              <w:rPr>
                <w:rFonts w:ascii="Cambria Math" w:hAnsi="Cambria Math"/>
                <w:i/>
              </w:rPr>
            </m:ctrlPr>
          </m:sSubPr>
          <m:e>
            <m:r>
              <w:rPr>
                <w:rFonts w:ascii="Cambria Math" w:hAnsi="Cambria Math"/>
              </w:rPr>
              <m:t>d</m:t>
            </m:r>
          </m:e>
          <m:sub>
            <m:r>
              <w:rPr>
                <w:rFonts w:ascii="Cambria Math" w:hAnsi="Cambria Math"/>
              </w:rPr>
              <m:t>m</m:t>
            </m:r>
          </m:sub>
        </m:sSub>
      </m:oMath>
      <w:r w:rsidR="009B5530">
        <w:t xml:space="preserve"> </w:t>
      </w:r>
      <w:r w:rsidR="00BC6FB1">
        <w:t xml:space="preserve">estimated </w:t>
      </w:r>
      <w:r w:rsidR="009B5530">
        <w:t xml:space="preserve">from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oMath>
      <w:r w:rsidR="00BC6FB1">
        <w:t xml:space="preserve"> </w:t>
      </w:r>
      <w:r w:rsidR="009B5530">
        <w:t xml:space="preserve"> </w:t>
      </w:r>
      <w:r w:rsidR="00BC6FB1">
        <w:t>using the effective density as described in Section </w:t>
      </w:r>
      <w:r w:rsidR="003E052F">
        <w:t xml:space="preserve">2.6. </w:t>
      </w:r>
      <w:r w:rsidR="0081148E">
        <w:t xml:space="preserve"> </w:t>
      </w:r>
      <w:r>
        <w:t xml:space="preserve">The </w:t>
      </w:r>
      <w:r w:rsidR="00BC6FB1">
        <w:t xml:space="preserve">initial </w:t>
      </w:r>
      <w:proofErr w:type="spellStart"/>
      <w:r w:rsidR="00BC6FB1">
        <w:t>guesss</w:t>
      </w:r>
      <w:proofErr w:type="spellEnd"/>
      <w:r w:rsidR="00BC6FB1">
        <w:t xml:space="preserve"> </w:t>
      </w:r>
      <w:r>
        <w:t xml:space="preserve">of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m</m:t>
                </m:r>
              </m:e>
              <m:sub>
                <m:r>
                  <w:rPr>
                    <w:rFonts w:ascii="Cambria Math" w:hAnsi="Cambria Math"/>
                  </w:rPr>
                  <m:t>p,k</m:t>
                </m:r>
              </m:sub>
            </m:sSub>
          </m:e>
        </m:acc>
      </m:oMath>
      <w:r>
        <w:t xml:space="preserve"> is</w:t>
      </w:r>
      <w:r w:rsidR="00CF7123">
        <w:t xml:space="preserve"> </w:t>
      </w:r>
      <w:r w:rsidR="00BC6FB1">
        <w:t xml:space="preserve">estimated from the CPMA </w:t>
      </w:r>
      <w:proofErr w:type="spellStart"/>
      <w:r w:rsidR="00BC6FB1">
        <w:t>setpoi</w:t>
      </w:r>
      <w:r w:rsidR="008D5B70" w:rsidRPr="008D5B70">
        <w:t>nt</w:t>
      </w:r>
      <w:proofErr w:type="spellEnd"/>
      <w:r w:rsidR="008D5B70" w:rsidRPr="008D5B70">
        <w:t xml:space="preserve"> </w:t>
      </w:r>
      <w:r w:rsidR="008D5B70" w:rsidRPr="008D5B70">
        <w:rPr>
          <w:i/>
        </w:rPr>
        <w:t>m/q</w:t>
      </w:r>
      <w:r w:rsidR="008D5B70" w:rsidRPr="008D5B70">
        <w:t xml:space="preserve"> by assuming </w:t>
      </w:r>
      <w:r w:rsidR="008D5B70" w:rsidRPr="008D5B70">
        <w:rPr>
          <w:i/>
        </w:rPr>
        <w:t>q</w:t>
      </w:r>
      <w:r w:rsidR="008D5B70" w:rsidRPr="008D5B70">
        <w:t>=1</w:t>
      </w:r>
      <w:r w:rsidR="00BC6FB1">
        <w:t xml:space="preserve">, </w:t>
      </w:r>
      <w:r>
        <w:t xml:space="preserve">and the equation is iterated until the solution converges. </w:t>
      </w:r>
    </w:p>
    <w:p w14:paraId="5E4725E3" w14:textId="77777777" w:rsidR="003B146D" w:rsidRDefault="003B146D" w:rsidP="00454313"/>
    <w:p w14:paraId="2F9E6AD9" w14:textId="6DB7D2ED" w:rsidR="009B5530" w:rsidRPr="00F61493" w:rsidRDefault="009B5530" w:rsidP="009B5530">
      <w:pPr>
        <w:pStyle w:val="Newparagraph"/>
      </w:pPr>
      <w:r>
        <w:t>Under our conditions</w:t>
      </w:r>
      <w:r w:rsidRPr="00F702AF">
        <w:rPr>
          <w:rStyle w:val="FootnoteReference"/>
        </w:rPr>
        <w:footnoteReference w:id="2"/>
      </w:r>
      <w:r>
        <w:t xml:space="preserve">, results of the Fuchs charging model were adequately represented by a curve with the parameterization of </w:t>
      </w:r>
    </w:p>
    <w:tbl>
      <w:tblPr>
        <w:tblStyle w:val="TableGrid"/>
        <w:tblW w:w="0" w:type="auto"/>
        <w:jc w:val="center"/>
        <w:tblLook w:val="04A0" w:firstRow="1" w:lastRow="0" w:firstColumn="1" w:lastColumn="0" w:noHBand="0" w:noVBand="1"/>
      </w:tblPr>
      <w:tblGrid>
        <w:gridCol w:w="704"/>
        <w:gridCol w:w="6946"/>
        <w:gridCol w:w="839"/>
      </w:tblGrid>
      <w:tr w:rsidR="003B146D" w14:paraId="40ACD7D8" w14:textId="77777777" w:rsidTr="002B4A52">
        <w:trPr>
          <w:jc w:val="center"/>
        </w:trPr>
        <w:tc>
          <w:tcPr>
            <w:tcW w:w="704" w:type="dxa"/>
            <w:tcBorders>
              <w:top w:val="nil"/>
              <w:left w:val="nil"/>
              <w:bottom w:val="nil"/>
              <w:right w:val="nil"/>
            </w:tcBorders>
          </w:tcPr>
          <w:p w14:paraId="261FF919" w14:textId="77777777" w:rsidR="003B146D" w:rsidRDefault="003B146D" w:rsidP="002B4A52">
            <w:pPr>
              <w:pStyle w:val="Newparagraph"/>
              <w:ind w:firstLine="0"/>
              <w:jc w:val="center"/>
            </w:pPr>
          </w:p>
        </w:tc>
        <w:tc>
          <w:tcPr>
            <w:tcW w:w="6946" w:type="dxa"/>
            <w:tcBorders>
              <w:top w:val="nil"/>
              <w:left w:val="nil"/>
              <w:bottom w:val="nil"/>
              <w:right w:val="nil"/>
            </w:tcBorders>
          </w:tcPr>
          <w:p w14:paraId="33A3F20C" w14:textId="5D5E58EE" w:rsidR="003B146D" w:rsidRDefault="00CC289F" w:rsidP="00EB1DAF">
            <w:pPr>
              <w:pStyle w:val="Newparagraph"/>
              <w:ind w:firstLine="0"/>
              <w:jc w:val="center"/>
            </w:pPr>
            <m:oMathPara>
              <m:oMath>
                <m:acc>
                  <m:accPr>
                    <m:chr m:val="̅"/>
                    <m:ctrlPr>
                      <w:rPr>
                        <w:rFonts w:ascii="Cambria Math" w:hAnsi="Cambria Math"/>
                        <w:i/>
                      </w:rPr>
                    </m:ctrlPr>
                  </m:accPr>
                  <m:e>
                    <m:r>
                      <w:rPr>
                        <w:rFonts w:ascii="Cambria Math" w:hAnsi="Cambria Math"/>
                      </w:rPr>
                      <m:t>q</m:t>
                    </m:r>
                  </m:e>
                </m:acc>
                <m:r>
                  <w:rPr>
                    <w:rFonts w:ascii="Cambria Math" w:hAnsi="Cambria Math"/>
                  </w:rPr>
                  <m:t>=6.4168⋅</m:t>
                </m:r>
                <m:sSubSup>
                  <m:sSubSupPr>
                    <m:ctrlPr>
                      <w:rPr>
                        <w:rFonts w:ascii="Cambria Math" w:hAnsi="Cambria Math"/>
                        <w:i/>
                      </w:rPr>
                    </m:ctrlPr>
                  </m:sSubSupPr>
                  <m:e>
                    <m:r>
                      <w:rPr>
                        <w:rFonts w:ascii="Cambria Math" w:hAnsi="Cambria Math"/>
                      </w:rPr>
                      <m:t>m</m:t>
                    </m:r>
                  </m:e>
                  <m:sub>
                    <m:r>
                      <w:rPr>
                        <w:rFonts w:ascii="Cambria Math" w:hAnsi="Cambria Math"/>
                      </w:rPr>
                      <m:t>p</m:t>
                    </m:r>
                  </m:sub>
                  <m:sup>
                    <m:r>
                      <w:rPr>
                        <w:rFonts w:ascii="Cambria Math" w:hAnsi="Cambria Math"/>
                      </w:rPr>
                      <m:t>0.4204</m:t>
                    </m:r>
                  </m:sup>
                </m:sSubSup>
                <m:r>
                  <w:rPr>
                    <w:rFonts w:ascii="Cambria Math" w:hAnsi="Cambria Math"/>
                  </w:rPr>
                  <m:t>+0.4587</m:t>
                </m:r>
              </m:oMath>
            </m:oMathPara>
          </w:p>
        </w:tc>
        <w:tc>
          <w:tcPr>
            <w:tcW w:w="839" w:type="dxa"/>
            <w:tcBorders>
              <w:top w:val="nil"/>
              <w:left w:val="nil"/>
              <w:bottom w:val="nil"/>
              <w:right w:val="nil"/>
            </w:tcBorders>
          </w:tcPr>
          <w:p w14:paraId="33899884" w14:textId="19B25DE2" w:rsidR="003B146D" w:rsidRDefault="002B4A52" w:rsidP="002B4A52">
            <w:pPr>
              <w:pStyle w:val="Newparagraph"/>
              <w:ind w:firstLine="0"/>
              <w:jc w:val="center"/>
            </w:pPr>
            <w:r>
              <w:rPr>
                <w:noProof/>
              </w:rPr>
              <w:t>S</w:t>
            </w:r>
            <w:r w:rsidR="003E052F">
              <w:rPr>
                <w:noProof/>
              </w:rPr>
              <w:t>2</w:t>
            </w:r>
          </w:p>
        </w:tc>
      </w:tr>
    </w:tbl>
    <w:p w14:paraId="2FEC50C9" w14:textId="69BA3A91" w:rsidR="003B146D" w:rsidRPr="00EB1DAF" w:rsidRDefault="00EB1DAF" w:rsidP="00454313">
      <w:r>
        <w:t>W</w:t>
      </w:r>
      <w:r w:rsidR="003B146D">
        <w:t>here</w:t>
      </w:r>
      <w:r>
        <w:t xml:space="preserve"> </w:t>
      </w:r>
      <m:oMath>
        <m:acc>
          <m:accPr>
            <m:chr m:val="̅"/>
            <m:ctrlPr>
              <w:rPr>
                <w:rFonts w:ascii="Cambria Math" w:hAnsi="Cambria Math"/>
                <w:i/>
              </w:rPr>
            </m:ctrlPr>
          </m:accPr>
          <m:e>
            <m:r>
              <w:rPr>
                <w:rFonts w:ascii="Cambria Math" w:hAnsi="Cambria Math"/>
              </w:rPr>
              <m:t>q</m:t>
            </m:r>
          </m:e>
        </m:acc>
      </m:oMath>
      <w:r>
        <w:t xml:space="preserve"> is the average number of charges on a particle of mass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w:t>
      </w:r>
      <w:r w:rsidR="00D80300">
        <w:t xml:space="preserve">(in </w:t>
      </w:r>
      <w:proofErr w:type="spellStart"/>
      <w:proofErr w:type="gramStart"/>
      <w:r w:rsidR="00D80300">
        <w:t>fg</w:t>
      </w:r>
      <w:proofErr w:type="spellEnd"/>
      <w:proofErr w:type="gramEnd"/>
      <w:r w:rsidR="00D80300">
        <w:t xml:space="preserve">) </w:t>
      </w:r>
      <w:r w:rsidR="00463ED9">
        <w:t>charged by</w:t>
      </w:r>
      <w:r>
        <w:t xml:space="preserve"> the UDAC at an </w:t>
      </w:r>
      <w:proofErr w:type="spellStart"/>
      <w:r>
        <w:t>ion</w:t>
      </w:r>
      <w:r w:rsidR="00347F47">
        <w:t>·</w:t>
      </w:r>
      <w:r>
        <w:t>charge</w:t>
      </w:r>
      <w:proofErr w:type="spellEnd"/>
      <w:r>
        <w:t xml:space="preserve"> product of </w:t>
      </w:r>
      <m:oMath>
        <m:sSup>
          <m:sSupPr>
            <m:ctrlPr>
              <w:rPr>
                <w:rFonts w:ascii="Cambria Math" w:hAnsi="Cambria Math"/>
                <w:i/>
              </w:rPr>
            </m:ctrlPr>
          </m:sSupPr>
          <m:e>
            <m:r>
              <w:rPr>
                <w:rFonts w:ascii="Cambria Math" w:hAnsi="Cambria Math"/>
              </w:rPr>
              <m:t>10</m:t>
            </m:r>
          </m:e>
          <m:sup>
            <m:r>
              <w:rPr>
                <w:rFonts w:ascii="Cambria Math" w:hAnsi="Cambria Math"/>
              </w:rPr>
              <m:t>13</m:t>
            </m:r>
          </m:sup>
        </m:sSup>
      </m:oMath>
      <w:r>
        <w:t> ions</w:t>
      </w:r>
      <w:r w:rsidR="00347F47">
        <w:t>·</w:t>
      </w:r>
      <w:r>
        <w:t>s/m</w:t>
      </w:r>
      <w:r>
        <w:rPr>
          <w:vertAlign w:val="superscript"/>
        </w:rPr>
        <w:t>3</w:t>
      </w:r>
      <w:r>
        <w:t>.</w:t>
      </w:r>
      <w:r w:rsidR="00BC6FB1">
        <w:t xml:space="preserve"> This parameterization is useful given the computational complexity of the Fuchs charging model.</w:t>
      </w:r>
    </w:p>
    <w:p w14:paraId="773866F8" w14:textId="77777777" w:rsidR="00454313" w:rsidRPr="00EF5579" w:rsidRDefault="00454313" w:rsidP="00454313">
      <w:pPr>
        <w:pStyle w:val="Newparagraph"/>
      </w:pPr>
    </w:p>
    <w:p w14:paraId="280EDC14" w14:textId="6E1053EE" w:rsidR="0056127C" w:rsidRDefault="00454313" w:rsidP="00454313">
      <w:r>
        <w:t xml:space="preserve">The </w:t>
      </w:r>
      <w:r w:rsidR="00F066DB">
        <w:t>mass-and-charge distribution approach (</w:t>
      </w:r>
      <w:r w:rsidR="003E052F">
        <w:t xml:space="preserve">Figure </w:t>
      </w:r>
      <w:r w:rsidR="003E052F">
        <w:rPr>
          <w:noProof/>
        </w:rPr>
        <w:t>2</w:t>
      </w:r>
      <w:r w:rsidR="00F066DB">
        <w:t xml:space="preserve">b) was </w:t>
      </w:r>
      <w:r>
        <w:t>based on the mass distribution of the classified particles estimated by the CPMA transfer function</w:t>
      </w:r>
      <w:r w:rsidDel="00AB7BD5">
        <w:t xml:space="preserve"> </w:t>
      </w:r>
      <w:r>
        <w:t xml:space="preserve">as follows. For each soot source, we represented the particle population using lognormal </w:t>
      </w:r>
      <w:r w:rsidR="00BC6FB1">
        <w:t xml:space="preserve">input distributions in </w:t>
      </w:r>
      <w:r>
        <w:t xml:space="preserve">mobility diameter </w:t>
      </w:r>
      <m:oMath>
        <m:sSub>
          <m:sSubPr>
            <m:ctrlPr>
              <w:rPr>
                <w:rFonts w:ascii="Cambria Math" w:hAnsi="Cambria Math"/>
                <w:i/>
              </w:rPr>
            </m:ctrlPr>
          </m:sSubPr>
          <m:e>
            <m:r>
              <w:rPr>
                <w:rFonts w:ascii="Cambria Math" w:hAnsi="Cambria Math"/>
              </w:rPr>
              <m:t>d</m:t>
            </m:r>
          </m:e>
          <m:sub>
            <m:r>
              <w:rPr>
                <w:rFonts w:ascii="Cambria Math" w:hAnsi="Cambria Math"/>
              </w:rPr>
              <m:t>m</m:t>
            </m:r>
          </m:sub>
        </m:sSub>
      </m:oMath>
      <w:r>
        <w:t xml:space="preserve"> </w:t>
      </w:r>
      <w:r w:rsidR="00F066DB">
        <w:t>(</w:t>
      </w:r>
      <m:oMath>
        <m:r>
          <w:rPr>
            <w:rFonts w:ascii="Cambria Math" w:hAnsi="Cambria Math"/>
          </w:rPr>
          <m:t>dN/dlog</m:t>
        </m:r>
        <m:sSub>
          <m:sSubPr>
            <m:ctrlPr>
              <w:rPr>
                <w:rFonts w:ascii="Cambria Math" w:hAnsi="Cambria Math"/>
                <w:i/>
              </w:rPr>
            </m:ctrlPr>
          </m:sSubPr>
          <m:e>
            <m:r>
              <w:rPr>
                <w:rFonts w:ascii="Cambria Math" w:hAnsi="Cambria Math"/>
              </w:rPr>
              <m:t>d</m:t>
            </m:r>
          </m:e>
          <m:sub>
            <m:r>
              <w:rPr>
                <w:rFonts w:ascii="Cambria Math" w:hAnsi="Cambria Math"/>
              </w:rPr>
              <m:t>m</m:t>
            </m:r>
          </m:sub>
        </m:sSub>
      </m:oMath>
      <w:r w:rsidR="00F066DB">
        <w:t>)</w:t>
      </w:r>
      <w:r w:rsidR="00BC6FB1">
        <w:t>. These distributions were</w:t>
      </w:r>
      <w:r>
        <w:t xml:space="preserve"> described by the measured geometric count mean diameters </w:t>
      </w:r>
      <w:r w:rsidR="006848D7">
        <w:t>CMD</w:t>
      </w:r>
      <w:r>
        <w:t xml:space="preserve"> and geometric standard deviations </w:t>
      </w:r>
      <w:r w:rsidR="006848D7">
        <w:t>GSD</w:t>
      </w:r>
      <w:r>
        <w:t xml:space="preserve"> of each source (</w:t>
      </w:r>
      <w:r w:rsidR="003E052F">
        <w:t xml:space="preserve">Table </w:t>
      </w:r>
      <w:r w:rsidR="003E052F">
        <w:rPr>
          <w:noProof/>
        </w:rPr>
        <w:t>1</w:t>
      </w:r>
      <w:r>
        <w:t xml:space="preserve">). The charge distribution </w:t>
      </w:r>
      <m:oMath>
        <m:r>
          <w:rPr>
            <w:rFonts w:ascii="Cambria Math" w:hAnsi="Cambria Math"/>
          </w:rPr>
          <m:t>q(</m:t>
        </m:r>
        <m:sSub>
          <m:sSubPr>
            <m:ctrlPr>
              <w:rPr>
                <w:rFonts w:ascii="Cambria Math" w:hAnsi="Cambria Math"/>
                <w:i/>
              </w:rPr>
            </m:ctrlPr>
          </m:sSubPr>
          <m:e>
            <m:r>
              <w:rPr>
                <w:rFonts w:ascii="Cambria Math" w:hAnsi="Cambria Math"/>
              </w:rPr>
              <m:t>d</m:t>
            </m:r>
          </m:e>
          <m:sub>
            <m:r>
              <w:rPr>
                <w:rFonts w:ascii="Cambria Math" w:hAnsi="Cambria Math"/>
              </w:rPr>
              <m:t>m</m:t>
            </m:r>
          </m:sub>
        </m:sSub>
        <m:r>
          <w:rPr>
            <w:rFonts w:ascii="Cambria Math" w:hAnsi="Cambria Math"/>
          </w:rPr>
          <m:t>)</m:t>
        </m:r>
      </m:oMath>
      <w:r>
        <w:t xml:space="preserve"> on these particles after the UDAC</w:t>
      </w:r>
      <w:r w:rsidR="0056127C">
        <w:t xml:space="preserve">, at integer </w:t>
      </w:r>
      <w:r w:rsidR="009B5530">
        <w:t>multiples</w:t>
      </w:r>
      <w:r w:rsidR="0056127C">
        <w:t xml:space="preserve"> </w:t>
      </w:r>
      <w:proofErr w:type="gramStart"/>
      <w:r w:rsidR="0056127C">
        <w:t xml:space="preserve">of </w:t>
      </w:r>
      <w:proofErr w:type="gramEnd"/>
      <m:oMath>
        <m:r>
          <w:rPr>
            <w:rFonts w:ascii="Cambria Math" w:hAnsi="Cambria Math"/>
          </w:rPr>
          <m:t>m/q</m:t>
        </m:r>
      </m:oMath>
      <w:r w:rsidR="0056127C">
        <w:t>,</w:t>
      </w:r>
      <w:r>
        <w:t xml:space="preserve"> was predicted using the Fuchs model </w:t>
      </w:r>
      <w:r w:rsidR="00F900DB" w:rsidRPr="00F900DB">
        <w:rPr>
          <w:noProof/>
        </w:rPr>
        <w:t>[60]</w:t>
      </w:r>
      <w:r>
        <w:t xml:space="preserve"> using a dielectric constant </w:t>
      </w:r>
      <m:oMath>
        <m:r>
          <w:rPr>
            <w:rFonts w:ascii="Cambria Math" w:hAnsi="Cambria Math"/>
          </w:rPr>
          <m:t>κ</m:t>
        </m:r>
      </m:oMath>
      <w:r w:rsidR="00D158BE">
        <w:t xml:space="preserve"> </w:t>
      </w:r>
      <w:r>
        <w:t xml:space="preserve">of 13.5. This dielectric constant is an average of the range used by </w:t>
      </w:r>
      <w:proofErr w:type="spellStart"/>
      <w:r>
        <w:t>Ouf</w:t>
      </w:r>
      <w:proofErr w:type="spellEnd"/>
      <w:r>
        <w:t xml:space="preserve"> and </w:t>
      </w:r>
      <w:proofErr w:type="spellStart"/>
      <w:r>
        <w:t>Sillon</w:t>
      </w:r>
      <w:proofErr w:type="spellEnd"/>
      <w:r>
        <w:t xml:space="preserve"> </w:t>
      </w:r>
      <w:r w:rsidR="00D158BE" w:rsidRPr="00D158BE">
        <w:rPr>
          <w:noProof/>
        </w:rPr>
        <w:t>[70]</w:t>
      </w:r>
      <w:r>
        <w:t xml:space="preserve"> for soot, and our results were</w:t>
      </w:r>
      <w:r w:rsidR="001453C6">
        <w:t xml:space="preserve"> relatively</w:t>
      </w:r>
      <w:r w:rsidR="001817A6">
        <w:t xml:space="preserve"> </w:t>
      </w:r>
      <w:r w:rsidR="001453C6">
        <w:t>in</w:t>
      </w:r>
      <w:r>
        <w:t xml:space="preserve">sensitive to </w:t>
      </w:r>
      <w:r w:rsidR="001817A6">
        <w:t>this</w:t>
      </w:r>
      <w:r>
        <w:t xml:space="preserve"> assumption. The lognormal distributions were then converted to mass distributions </w:t>
      </w:r>
      <w:r w:rsidR="00F066DB">
        <w:t>(</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in</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rsidR="00F066DB">
        <w:t xml:space="preserve">) </w:t>
      </w:r>
      <w:r w:rsidR="0042203B">
        <w:t xml:space="preserve">based on </w:t>
      </w:r>
      <w:r w:rsidR="00252B44">
        <w:t>Equation </w:t>
      </w:r>
      <w:r w:rsidR="003E052F">
        <w:rPr>
          <w:noProof/>
        </w:rPr>
        <w:t>7</w:t>
      </w:r>
      <w:r>
        <w:t xml:space="preserve">. The transport of this mass distribution through the CPMA was predicted using </w:t>
      </w:r>
      <w:r w:rsidR="00F066DB">
        <w:t xml:space="preserve">a </w:t>
      </w:r>
      <w:r>
        <w:t>CPMA transfer function</w:t>
      </w:r>
      <w:r w:rsidR="00F066DB">
        <w:t xml:space="preserve"> calculated for particles with </w:t>
      </w:r>
      <m:oMath>
        <m:r>
          <w:rPr>
            <w:rFonts w:ascii="Cambria Math" w:hAnsi="Cambria Math"/>
          </w:rPr>
          <m:t>q=1, 2, 3, …</m:t>
        </m:r>
      </m:oMath>
      <w:r w:rsidR="00F066DB">
        <w:t xml:space="preserve"> for all cases where </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in</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rsidR="00F066DB">
        <w:t xml:space="preserve"> was substantially greater than zero. The CPMA transfer functions were</w:t>
      </w:r>
      <w:r>
        <w:t xml:space="preserve"> calculated using the finite-difference method outlined by Sipkens et al. </w:t>
      </w:r>
      <w:r w:rsidR="00F900DB" w:rsidRPr="00F900DB">
        <w:rPr>
          <w:noProof/>
        </w:rPr>
        <w:t>[57]</w:t>
      </w:r>
      <w:r>
        <w:t xml:space="preserve">. The </w:t>
      </w:r>
      <w:r w:rsidR="00F066DB">
        <w:t xml:space="preserve">overall </w:t>
      </w:r>
      <w:r>
        <w:t xml:space="preserve">CPMA output mass distribution </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out</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rsidR="00F066DB">
        <w:t xml:space="preserve"> </w:t>
      </w:r>
      <w:r>
        <w:t xml:space="preserve">was then calculated by combining the input mass distribution </w:t>
      </w:r>
      <w:proofErr w:type="spellStart"/>
      <w:r>
        <w:t>wth</w:t>
      </w:r>
      <w:proofErr w:type="spellEnd"/>
      <w:r>
        <w:t xml:space="preserve"> </w:t>
      </w:r>
      <w:r>
        <w:lastRenderedPageBreak/>
        <w:t xml:space="preserve">the charge distribution and transfer function. This </w:t>
      </w:r>
      <w:r w:rsidR="00F066DB">
        <w:t xml:space="preserve">calculation </w:t>
      </w:r>
      <w:r>
        <w:t>assumes that the charge distribution is approximately constant across the narrow width of the CPMA transfer function for each particle charge</w:t>
      </w:r>
      <w:r w:rsidR="009B5530">
        <w:t xml:space="preserve"> state</w:t>
      </w:r>
      <w:r>
        <w:t xml:space="preserve">. </w:t>
      </w:r>
    </w:p>
    <w:p w14:paraId="0AC28E9C" w14:textId="77777777" w:rsidR="0056127C" w:rsidRDefault="0056127C" w:rsidP="00454313"/>
    <w:p w14:paraId="00FB11D6" w14:textId="1ABE6FF8" w:rsidR="00454313" w:rsidRDefault="00454313" w:rsidP="0056127C">
      <w:r>
        <w:t xml:space="preserve">The </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out</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rsidR="00F066DB" w:rsidDel="00F066DB">
        <w:t xml:space="preserve"> </w:t>
      </w:r>
      <w:r w:rsidR="0056127C">
        <w:t xml:space="preserve">predicted by the mass-and-charge distribution approach </w:t>
      </w:r>
      <w:r w:rsidR="00F066DB">
        <w:t xml:space="preserve">can be used to estimate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F066DB">
        <w:t xml:space="preserve"> directly</w:t>
      </w:r>
      <w:r w:rsidR="0056127C">
        <w:t xml:space="preserve">. Since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56127C">
        <w:t xml:space="preserve"> is t</w:t>
      </w:r>
      <w:r>
        <w:t>he average mass of the classified particles</w:t>
      </w:r>
      <w:r w:rsidR="00084AAB">
        <w:t>,</w:t>
      </w:r>
      <w:r>
        <w:t xml:space="preserve"> </w:t>
      </w:r>
      <w:r w:rsidR="0056127C">
        <w:t xml:space="preserve">its value is </w:t>
      </w:r>
    </w:p>
    <w:p w14:paraId="3AE7EAE0" w14:textId="77777777" w:rsidR="00454313" w:rsidRPr="00F61493" w:rsidRDefault="00454313" w:rsidP="00454313">
      <w:pPr>
        <w:pStyle w:val="Newparagraph"/>
      </w:pPr>
    </w:p>
    <w:tbl>
      <w:tblPr>
        <w:tblStyle w:val="TableGrid"/>
        <w:tblW w:w="0" w:type="auto"/>
        <w:jc w:val="center"/>
        <w:tblLook w:val="04A0" w:firstRow="1" w:lastRow="0" w:firstColumn="1" w:lastColumn="0" w:noHBand="0" w:noVBand="1"/>
      </w:tblPr>
      <w:tblGrid>
        <w:gridCol w:w="704"/>
        <w:gridCol w:w="6946"/>
        <w:gridCol w:w="839"/>
      </w:tblGrid>
      <w:tr w:rsidR="00454313" w14:paraId="0BA86D9B" w14:textId="77777777" w:rsidTr="00E629EA">
        <w:trPr>
          <w:jc w:val="center"/>
        </w:trPr>
        <w:tc>
          <w:tcPr>
            <w:tcW w:w="704" w:type="dxa"/>
            <w:tcBorders>
              <w:top w:val="nil"/>
              <w:left w:val="nil"/>
              <w:bottom w:val="nil"/>
              <w:right w:val="nil"/>
            </w:tcBorders>
          </w:tcPr>
          <w:p w14:paraId="6E2A6CB0" w14:textId="77777777" w:rsidR="00454313" w:rsidRDefault="00454313" w:rsidP="00203E1D">
            <w:pPr>
              <w:pStyle w:val="Newparagraph"/>
              <w:ind w:firstLine="0"/>
              <w:jc w:val="center"/>
            </w:pPr>
          </w:p>
        </w:tc>
        <w:tc>
          <w:tcPr>
            <w:tcW w:w="6946" w:type="dxa"/>
            <w:tcBorders>
              <w:top w:val="nil"/>
              <w:left w:val="nil"/>
              <w:bottom w:val="nil"/>
              <w:right w:val="nil"/>
            </w:tcBorders>
          </w:tcPr>
          <w:p w14:paraId="6C989505" w14:textId="6B609353" w:rsidR="00454313" w:rsidRDefault="00CC289F" w:rsidP="00B659F5">
            <w:pPr>
              <w:pStyle w:val="Newparagraph"/>
              <w:ind w:firstLine="0"/>
              <w:jc w:val="center"/>
            </w:pPr>
            <m:oMathPara>
              <m:oMath>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m:t>
                </m:r>
                <m:f>
                  <m:fPr>
                    <m:ctrlPr>
                      <w:rPr>
                        <w:rFonts w:ascii="Cambria Math" w:hAnsi="Cambria Math"/>
                        <w:i/>
                        <w:iCs/>
                        <w:lang w:val="en-US"/>
                      </w:rPr>
                    </m:ctrlPr>
                  </m:fPr>
                  <m:num>
                    <m:r>
                      <w:rPr>
                        <w:rFonts w:ascii="Cambria Math" w:hAnsi="Cambria Math"/>
                        <w:lang w:val="en-US"/>
                      </w:rPr>
                      <m:t>1</m:t>
                    </m:r>
                  </m:num>
                  <m:den>
                    <m:sSub>
                      <m:sSubPr>
                        <m:ctrlPr>
                          <w:rPr>
                            <w:rFonts w:ascii="Cambria Math" w:hAnsi="Cambria Math"/>
                            <w:i/>
                            <w:iCs/>
                            <w:lang w:val="en-US"/>
                          </w:rPr>
                        </m:ctrlPr>
                      </m:sSubPr>
                      <m:e>
                        <m:r>
                          <w:rPr>
                            <w:rFonts w:ascii="Cambria Math" w:hAnsi="Cambria Math"/>
                            <w:lang w:val="en-US"/>
                          </w:rPr>
                          <m:t>N</m:t>
                        </m:r>
                      </m:e>
                      <m:sub>
                        <m:r>
                          <m:rPr>
                            <m:sty m:val="p"/>
                          </m:rPr>
                          <w:rPr>
                            <w:rFonts w:ascii="Cambria Math" w:hAnsi="Cambria Math"/>
                            <w:lang w:val="en-US"/>
                          </w:rPr>
                          <m:t>out</m:t>
                        </m:r>
                      </m:sub>
                    </m:sSub>
                  </m:den>
                </m:f>
                <m:nary>
                  <m:naryPr>
                    <m:chr m:val="∑"/>
                    <m:limLoc m:val="subSup"/>
                    <m:supHide m:val="1"/>
                    <m:ctrlPr>
                      <w:rPr>
                        <w:rFonts w:ascii="Cambria Math" w:hAnsi="Cambria Math"/>
                        <w:i/>
                        <w:iCs/>
                      </w:rPr>
                    </m:ctrlPr>
                  </m:naryPr>
                  <m:sub>
                    <m:r>
                      <w:rPr>
                        <w:rFonts w:ascii="Cambria Math" w:hAnsi="Cambria Math"/>
                      </w:rPr>
                      <m:t>j</m:t>
                    </m:r>
                  </m:sub>
                  <m:sup/>
                  <m:e>
                    <m:sSub>
                      <m:sSubPr>
                        <m:ctrlPr>
                          <w:rPr>
                            <w:rFonts w:ascii="Cambria Math" w:hAnsi="Cambria Math"/>
                            <w:i/>
                            <w:iCs/>
                          </w:rPr>
                        </m:ctrlPr>
                      </m:sSubPr>
                      <m:e>
                        <m:r>
                          <w:rPr>
                            <w:rFonts w:ascii="Cambria Math" w:hAnsi="Cambria Math"/>
                          </w:rPr>
                          <m:t>m</m:t>
                        </m:r>
                      </m:e>
                      <m:sub>
                        <m:r>
                          <w:rPr>
                            <w:rFonts w:ascii="Cambria Math" w:hAnsi="Cambria Math"/>
                          </w:rPr>
                          <m:t>j</m:t>
                        </m:r>
                      </m:sub>
                    </m:sSub>
                    <m:r>
                      <w:rPr>
                        <w:rFonts w:ascii="Cambria Math" w:hAnsi="Cambria Math"/>
                      </w:rPr>
                      <m:t>⋅</m:t>
                    </m:r>
                    <m:sSub>
                      <m:sSubPr>
                        <m:ctrlPr>
                          <w:rPr>
                            <w:rFonts w:ascii="Cambria Math" w:hAnsi="Cambria Math"/>
                            <w:i/>
                            <w:iCs/>
                          </w:rPr>
                        </m:ctrlPr>
                      </m:sSubPr>
                      <m:e>
                        <m:r>
                          <w:rPr>
                            <w:rFonts w:ascii="Cambria Math" w:hAnsi="Cambria Math"/>
                          </w:rPr>
                          <m:t>dN</m:t>
                        </m:r>
                      </m:e>
                      <m:sub>
                        <m:r>
                          <m:rPr>
                            <m:sty m:val="p"/>
                          </m:rPr>
                          <w:rPr>
                            <w:rFonts w:ascii="Cambria Math" w:hAnsi="Cambria Math"/>
                          </w:rPr>
                          <m:t>out</m:t>
                        </m:r>
                        <m:r>
                          <w:rPr>
                            <w:rFonts w:ascii="Cambria Math" w:hAnsi="Cambria Math"/>
                          </w:rPr>
                          <m:t>,j</m:t>
                        </m:r>
                      </m:sub>
                    </m:sSub>
                  </m:e>
                </m:nary>
              </m:oMath>
            </m:oMathPara>
          </w:p>
        </w:tc>
        <w:tc>
          <w:tcPr>
            <w:tcW w:w="839" w:type="dxa"/>
            <w:tcBorders>
              <w:top w:val="nil"/>
              <w:left w:val="nil"/>
              <w:bottom w:val="nil"/>
              <w:right w:val="nil"/>
            </w:tcBorders>
            <w:vAlign w:val="center"/>
          </w:tcPr>
          <w:p w14:paraId="3499CF09" w14:textId="048329F9" w:rsidR="00454313" w:rsidRDefault="002B4A52" w:rsidP="00A82B1A">
            <w:pPr>
              <w:pStyle w:val="Newparagraph"/>
              <w:ind w:firstLine="0"/>
              <w:jc w:val="center"/>
            </w:pPr>
            <w:bookmarkStart w:id="4" w:name="_Ref85888217"/>
            <w:r>
              <w:rPr>
                <w:noProof/>
              </w:rPr>
              <w:t>S</w:t>
            </w:r>
            <w:r w:rsidR="003E052F">
              <w:rPr>
                <w:noProof/>
              </w:rPr>
              <w:t>3</w:t>
            </w:r>
            <w:bookmarkEnd w:id="4"/>
          </w:p>
        </w:tc>
      </w:tr>
    </w:tbl>
    <w:p w14:paraId="578184E9" w14:textId="77777777" w:rsidR="00454313" w:rsidRDefault="00454313" w:rsidP="00454313"/>
    <w:p w14:paraId="1ED4C1ED" w14:textId="522D4991" w:rsidR="00454313" w:rsidRDefault="009C0356" w:rsidP="00454313">
      <w:r>
        <w:t>W</w:t>
      </w:r>
      <w:r w:rsidR="00454313">
        <w:t>here</w:t>
      </w:r>
      <w:r>
        <w:t xml:space="preserve"> </w:t>
      </w:r>
      <m:oMath>
        <m:sSub>
          <m:sSubPr>
            <m:ctrlPr>
              <w:rPr>
                <w:rFonts w:ascii="Cambria Math" w:hAnsi="Cambria Math"/>
                <w:i/>
                <w:iCs/>
              </w:rPr>
            </m:ctrlPr>
          </m:sSubPr>
          <m:e>
            <m:r>
              <w:rPr>
                <w:rFonts w:ascii="Cambria Math" w:hAnsi="Cambria Math"/>
              </w:rPr>
              <m:t>dN</m:t>
            </m:r>
          </m:e>
          <m:sub>
            <m:r>
              <w:rPr>
                <w:rFonts w:ascii="Cambria Math" w:hAnsi="Cambria Math"/>
              </w:rPr>
              <m:t>out,j</m:t>
            </m:r>
          </m:sub>
        </m:sSub>
      </m:oMath>
      <w:proofErr w:type="gramStart"/>
      <w:r w:rsidR="00454313">
        <w:t xml:space="preserve"> </w:t>
      </w:r>
      <m:oMath>
        <m:r>
          <m:rPr>
            <m:sty m:val="p"/>
          </m:rPr>
          <w:rPr>
            <w:rFonts w:ascii="Cambria Math" w:hAnsi="Cambria Math"/>
          </w:rPr>
          <m:t>and</m:t>
        </m:r>
      </m:oMath>
      <w:r w:rsidR="00454313">
        <w:t xml:space="preserve"> </w:t>
      </w:r>
      <m:oMath>
        <m:sSub>
          <m:sSubPr>
            <m:ctrlPr>
              <w:rPr>
                <w:rFonts w:ascii="Cambria Math" w:hAnsi="Cambria Math"/>
                <w:i/>
                <w:iCs/>
              </w:rPr>
            </m:ctrlPr>
          </m:sSubPr>
          <m:e>
            <m:r>
              <w:rPr>
                <w:rFonts w:ascii="Cambria Math" w:hAnsi="Cambria Math"/>
              </w:rPr>
              <m:t>m</m:t>
            </m:r>
          </m:e>
          <m:sub>
            <m:r>
              <w:rPr>
                <w:rFonts w:ascii="Cambria Math" w:hAnsi="Cambria Math"/>
              </w:rPr>
              <m:t>j</m:t>
            </m:r>
          </m:sub>
        </m:sSub>
      </m:oMath>
      <w:r w:rsidR="00454313">
        <w:t xml:space="preserve"> are the number and single-particle mass of particles with</w:t>
      </w:r>
      <w:proofErr w:type="gramEnd"/>
      <w:r w:rsidR="00454313">
        <w:t xml:space="preserve"> </w:t>
      </w:r>
      <w:r w:rsidR="005E5F81">
        <w:t>classified by the CPMA</w:t>
      </w:r>
      <w:r w:rsidR="00454313">
        <w:t xml:space="preserve">, respectively. These quantities are summed </w:t>
      </w:r>
      <w:r w:rsidR="00B659F5">
        <w:t xml:space="preserve">for all bins in the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B659F5">
        <w:t xml:space="preserve"> distribution (i.e. integrated over single-particle mass)</w:t>
      </w:r>
      <w:r w:rsidR="00454313">
        <w:t xml:space="preserve">. We then attributed the MAC calculated with Equation </w:t>
      </w:r>
      <w:r w:rsidR="003E052F">
        <w:rPr>
          <w:noProof/>
        </w:rPr>
        <w:t>1</w:t>
      </w:r>
      <w:r w:rsidR="00454313">
        <w:t xml:space="preserve"> </w:t>
      </w:r>
      <w:r w:rsidR="00084AAB">
        <w:t xml:space="preserve">(main </w:t>
      </w:r>
      <w:r w:rsidR="0056127C">
        <w:t>manuscript</w:t>
      </w:r>
      <w:r w:rsidR="00084AAB">
        <w:t>)</w:t>
      </w:r>
      <w:r w:rsidR="0056127C">
        <w:t xml:space="preserve"> </w:t>
      </w:r>
      <w:r w:rsidR="00454313">
        <w:t xml:space="preserve">to particles of </w:t>
      </w:r>
      <w:proofErr w:type="gramStart"/>
      <w:r w:rsidR="00454313">
        <w:t xml:space="preserve">mass </w:t>
      </w:r>
      <w:proofErr w:type="gramEnd"/>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454313">
        <w:t xml:space="preserve">. This average-mass </w:t>
      </w:r>
      <w:r w:rsidR="005470AE">
        <w:t>approach</w:t>
      </w:r>
      <w:r w:rsidR="00454313">
        <w:t>, implicitly assumes that the mass distribution of the CPMA classified particles is narrow</w:t>
      </w:r>
      <w:r w:rsidR="00454313" w:rsidRPr="00F702AF">
        <w:rPr>
          <w:rStyle w:val="FootnoteReference"/>
        </w:rPr>
        <w:footnoteReference w:id="3"/>
      </w:r>
      <w:r w:rsidR="00454313">
        <w:t xml:space="preserve"> (such that most of the particles contributing to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454313">
        <w:t xml:space="preserve"> have similar mass) and that the MAC of the individual particles is constant over this narrow distribution. </w:t>
      </w:r>
    </w:p>
    <w:p w14:paraId="63206E6C" w14:textId="0724E6E1" w:rsidR="00454313" w:rsidRDefault="00084AAB" w:rsidP="00084AAB">
      <w:pPr>
        <w:pStyle w:val="Paragraph"/>
      </w:pPr>
      <w:r>
        <w:t xml:space="preserve">As mentioned in Section </w:t>
      </w:r>
      <w:r w:rsidR="003E052F">
        <w:t xml:space="preserve">2.6. </w:t>
      </w:r>
      <w:r>
        <w:t xml:space="preserve">, we also used the </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out</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predictions to consider the possibility that particles of different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and therefore different MAC were transmitted by the CPMA at a single setpoint. To this end, w</w:t>
      </w:r>
      <w:r w:rsidR="00454313">
        <w:t xml:space="preserve">e used Equation </w:t>
      </w:r>
      <w:r w:rsidR="003E052F">
        <w:rPr>
          <w:noProof/>
        </w:rPr>
        <w:t>1</w:t>
      </w:r>
      <w:r w:rsidR="00454313">
        <w:t xml:space="preserve"> to describe each unique particle mass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sidR="00454313">
        <w:t xml:space="preserve"> as having its own MAC, </w:t>
      </w:r>
      <m:oMath>
        <m:sSub>
          <m:sSubPr>
            <m:ctrlPr>
              <w:rPr>
                <w:rFonts w:ascii="Cambria Math" w:hAnsi="Cambria Math"/>
                <w:i/>
                <w:vertAlign w:val="subscript"/>
              </w:rPr>
            </m:ctrlPr>
          </m:sSubPr>
          <m:e>
            <m:r>
              <m:rPr>
                <m:sty m:val="p"/>
              </m:rPr>
              <w:rPr>
                <w:rFonts w:ascii="Cambria Math" w:hAnsi="Cambria Math"/>
              </w:rPr>
              <m:t>MAC</m:t>
            </m:r>
            <m:ctrlPr>
              <w:rPr>
                <w:rFonts w:ascii="Cambria Math" w:hAnsi="Cambria Math"/>
              </w:rPr>
            </m:ctrlPr>
          </m:e>
          <m:sub>
            <m:r>
              <w:rPr>
                <w:rFonts w:ascii="Cambria Math" w:hAnsi="Cambria Math"/>
                <w:vertAlign w:val="subscript"/>
              </w:rPr>
              <m:t>mj</m:t>
            </m:r>
          </m:sub>
        </m:sSub>
      </m:oMath>
      <w:r w:rsidR="00454313">
        <w:rPr>
          <w:vertAlign w:val="subscript"/>
        </w:rPr>
        <w:t xml:space="preserve"> </w:t>
      </w:r>
      <w:r w:rsidR="00454313">
        <w:t xml:space="preserve">and its own mass </w:t>
      </w:r>
      <w:proofErr w:type="gramStart"/>
      <w:r w:rsidR="00454313">
        <w:t xml:space="preserve">loading </w:t>
      </w:r>
      <w:proofErr w:type="gramEnd"/>
      <m:oMath>
        <m:sSub>
          <m:sSubPr>
            <m:ctrlPr>
              <w:rPr>
                <w:rFonts w:ascii="Cambria Math" w:hAnsi="Cambria Math"/>
                <w:i/>
              </w:rPr>
            </m:ctrlPr>
          </m:sSubPr>
          <m:e>
            <m:r>
              <w:rPr>
                <w:rFonts w:ascii="Cambria Math" w:hAnsi="Cambria Math"/>
              </w:rPr>
              <m:t>M</m:t>
            </m:r>
          </m:e>
          <m:sub>
            <m:r>
              <w:rPr>
                <w:rFonts w:ascii="Cambria Math" w:hAnsi="Cambria Math"/>
              </w:rPr>
              <m:t>PM,j</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j</m:t>
            </m:r>
          </m:sub>
        </m:sSub>
        <m:sSub>
          <m:sSubPr>
            <m:ctrlPr>
              <w:rPr>
                <w:rFonts w:ascii="Cambria Math" w:hAnsi="Cambria Math"/>
                <w:i/>
              </w:rPr>
            </m:ctrlPr>
          </m:sSubPr>
          <m:e>
            <m:r>
              <w:rPr>
                <w:rFonts w:ascii="Cambria Math" w:hAnsi="Cambria Math"/>
              </w:rPr>
              <m:t>m</m:t>
            </m:r>
          </m:e>
          <m:sub>
            <m:r>
              <w:rPr>
                <w:rFonts w:ascii="Cambria Math" w:hAnsi="Cambria Math"/>
              </w:rPr>
              <m:t>j</m:t>
            </m:r>
          </m:sub>
        </m:sSub>
      </m:oMath>
      <w:r w:rsidR="00454313">
        <w:t>:</w:t>
      </w:r>
      <w:r w:rsidR="00454313" w:rsidRPr="00A45364">
        <w:t xml:space="preserve"> </w:t>
      </w:r>
    </w:p>
    <w:p w14:paraId="6E391074" w14:textId="77777777" w:rsidR="00454313" w:rsidRPr="00F61493" w:rsidRDefault="00454313" w:rsidP="00454313">
      <w:pPr>
        <w:pStyle w:val="Newparagraph"/>
      </w:pPr>
    </w:p>
    <w:tbl>
      <w:tblPr>
        <w:tblStyle w:val="TableGrid"/>
        <w:tblW w:w="0" w:type="auto"/>
        <w:jc w:val="center"/>
        <w:tblLook w:val="04A0" w:firstRow="1" w:lastRow="0" w:firstColumn="1" w:lastColumn="0" w:noHBand="0" w:noVBand="1"/>
      </w:tblPr>
      <w:tblGrid>
        <w:gridCol w:w="704"/>
        <w:gridCol w:w="6946"/>
        <w:gridCol w:w="839"/>
      </w:tblGrid>
      <w:tr w:rsidR="00454313" w14:paraId="1DAD339A" w14:textId="77777777" w:rsidTr="00E629EA">
        <w:trPr>
          <w:jc w:val="center"/>
        </w:trPr>
        <w:tc>
          <w:tcPr>
            <w:tcW w:w="704" w:type="dxa"/>
            <w:tcBorders>
              <w:top w:val="nil"/>
              <w:left w:val="nil"/>
              <w:bottom w:val="nil"/>
              <w:right w:val="nil"/>
            </w:tcBorders>
          </w:tcPr>
          <w:p w14:paraId="1E392F93" w14:textId="77777777" w:rsidR="00454313" w:rsidRDefault="00454313" w:rsidP="00203E1D">
            <w:pPr>
              <w:pStyle w:val="Newparagraph"/>
              <w:ind w:firstLine="0"/>
              <w:jc w:val="center"/>
            </w:pPr>
          </w:p>
        </w:tc>
        <w:tc>
          <w:tcPr>
            <w:tcW w:w="6946" w:type="dxa"/>
            <w:tcBorders>
              <w:top w:val="nil"/>
              <w:left w:val="nil"/>
              <w:bottom w:val="nil"/>
              <w:right w:val="nil"/>
            </w:tcBorders>
          </w:tcPr>
          <w:p w14:paraId="12E2D094" w14:textId="1CA2D67E" w:rsidR="00454313" w:rsidRDefault="00CC289F" w:rsidP="00203E1D">
            <w:pPr>
              <w:pStyle w:val="Newparagraph"/>
              <w:ind w:firstLine="0"/>
              <w:jc w:val="center"/>
            </w:pPr>
            <m:oMathPara>
              <m:oMath>
                <m:sSub>
                  <m:sSubPr>
                    <m:ctrlPr>
                      <w:rPr>
                        <w:rFonts w:ascii="Cambria Math" w:hAnsi="Cambria Math"/>
                      </w:rPr>
                    </m:ctrlPr>
                  </m:sSubPr>
                  <m:e>
                    <m:r>
                      <m:rPr>
                        <m:sty m:val="p"/>
                      </m:rPr>
                      <w:rPr>
                        <w:rFonts w:ascii="Cambria Math" w:hAnsi="Cambria Math"/>
                      </w:rPr>
                      <m:t>MAC</m:t>
                    </m:r>
                  </m:e>
                  <m:sub>
                    <m:sSub>
                      <m:sSubPr>
                        <m:ctrlPr>
                          <w:rPr>
                            <w:rFonts w:ascii="Cambria Math" w:hAnsi="Cambria Math"/>
                            <w:i/>
                          </w:rPr>
                        </m:ctrlPr>
                      </m:sSubPr>
                      <m:e>
                        <m:r>
                          <w:rPr>
                            <w:rFonts w:ascii="Cambria Math" w:hAnsi="Cambria Math"/>
                          </w:rPr>
                          <m:t>m</m:t>
                        </m:r>
                      </m:e>
                      <m:sub>
                        <m:r>
                          <w:rPr>
                            <w:rFonts w:ascii="Cambria Math" w:hAnsi="Cambria Math"/>
                          </w:rPr>
                          <m:t>j</m:t>
                        </m:r>
                      </m:sub>
                    </m:sSub>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B</m:t>
                        </m:r>
                      </m:e>
                      <m:sub>
                        <m:r>
                          <m:rPr>
                            <m:sty m:val="p"/>
                          </m:rPr>
                          <w:rPr>
                            <w:rFonts w:ascii="Cambria Math" w:hAnsi="Cambria Math"/>
                          </w:rPr>
                          <m:t>abn</m:t>
                        </m:r>
                        <m:r>
                          <w:rPr>
                            <w:rFonts w:ascii="Cambria Math" w:hAnsi="Cambria Math"/>
                          </w:rPr>
                          <m:t>,j</m:t>
                        </m:r>
                      </m:sub>
                    </m:sSub>
                  </m:num>
                  <m:den>
                    <m:sSub>
                      <m:sSubPr>
                        <m:ctrlPr>
                          <w:rPr>
                            <w:rFonts w:ascii="Cambria Math" w:hAnsi="Cambria Math"/>
                            <w:i/>
                          </w:rPr>
                        </m:ctrlPr>
                      </m:sSubPr>
                      <m:e>
                        <m:r>
                          <w:rPr>
                            <w:rFonts w:ascii="Cambria Math" w:hAnsi="Cambria Math"/>
                          </w:rPr>
                          <m:t>N</m:t>
                        </m:r>
                      </m:e>
                      <m:sub>
                        <m:r>
                          <w:rPr>
                            <w:rFonts w:ascii="Cambria Math" w:hAnsi="Cambria Math"/>
                          </w:rPr>
                          <m:t>j</m:t>
                        </m:r>
                      </m:sub>
                    </m:sSub>
                    <m:sSub>
                      <m:sSubPr>
                        <m:ctrlPr>
                          <w:rPr>
                            <w:rFonts w:ascii="Cambria Math" w:hAnsi="Cambria Math"/>
                            <w:i/>
                          </w:rPr>
                        </m:ctrlPr>
                      </m:sSubPr>
                      <m:e>
                        <m:r>
                          <w:rPr>
                            <w:rFonts w:ascii="Cambria Math" w:hAnsi="Cambria Math"/>
                          </w:rPr>
                          <m:t>m</m:t>
                        </m:r>
                      </m:e>
                      <m:sub>
                        <m:r>
                          <w:rPr>
                            <w:rFonts w:ascii="Cambria Math" w:hAnsi="Cambria Math"/>
                          </w:rPr>
                          <m:t>j</m:t>
                        </m:r>
                      </m:sub>
                    </m:sSub>
                  </m:den>
                </m:f>
              </m:oMath>
            </m:oMathPara>
          </w:p>
        </w:tc>
        <w:tc>
          <w:tcPr>
            <w:tcW w:w="839" w:type="dxa"/>
            <w:tcBorders>
              <w:top w:val="nil"/>
              <w:left w:val="nil"/>
              <w:bottom w:val="nil"/>
              <w:right w:val="nil"/>
            </w:tcBorders>
            <w:vAlign w:val="center"/>
          </w:tcPr>
          <w:p w14:paraId="22687DC2" w14:textId="409DB680" w:rsidR="00454313" w:rsidRDefault="002B4A52" w:rsidP="00A82B1A">
            <w:pPr>
              <w:pStyle w:val="Newparagraph"/>
              <w:ind w:firstLine="0"/>
              <w:jc w:val="center"/>
            </w:pPr>
            <w:r>
              <w:rPr>
                <w:noProof/>
              </w:rPr>
              <w:t>S</w:t>
            </w:r>
            <w:bookmarkStart w:id="5" w:name="_Ref66269500"/>
            <w:r w:rsidR="003E052F">
              <w:rPr>
                <w:noProof/>
              </w:rPr>
              <w:t>4</w:t>
            </w:r>
            <w:bookmarkEnd w:id="5"/>
          </w:p>
        </w:tc>
      </w:tr>
    </w:tbl>
    <w:p w14:paraId="18A1504C" w14:textId="77777777" w:rsidR="00454313" w:rsidRDefault="00454313" w:rsidP="00454313"/>
    <w:p w14:paraId="7F9233AB" w14:textId="37952069" w:rsidR="00454313" w:rsidRDefault="005D0982" w:rsidP="00454313">
      <w:r>
        <w:lastRenderedPageBreak/>
        <w:t xml:space="preserve">Where </w:t>
      </w:r>
      <m:oMath>
        <m:sSub>
          <m:sSubPr>
            <m:ctrlPr>
              <w:rPr>
                <w:rFonts w:ascii="Cambria Math" w:hAnsi="Cambria Math"/>
                <w:i/>
              </w:rPr>
            </m:ctrlPr>
          </m:sSubPr>
          <m:e>
            <m:r>
              <w:rPr>
                <w:rFonts w:ascii="Cambria Math" w:hAnsi="Cambria Math"/>
              </w:rPr>
              <m:t>N</m:t>
            </m:r>
          </m:e>
          <m:sub>
            <m:r>
              <w:rPr>
                <w:rFonts w:ascii="Cambria Math" w:hAnsi="Cambria Math"/>
              </w:rPr>
              <m:t>j</m:t>
            </m:r>
          </m:sub>
        </m:sSub>
      </m:oMath>
      <w:r>
        <w:t xml:space="preserve"> is the </w:t>
      </w:r>
      <w:r w:rsidR="000D55DB">
        <w:t xml:space="preserve">total </w:t>
      </w:r>
      <w:r>
        <w:t xml:space="preserve">number concentration of particles with mass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sidR="00777B21">
        <w:t xml:space="preserve"> and charge j</w:t>
      </w:r>
      <w:r w:rsidR="00F80B10">
        <w:t xml:space="preserve">. </w:t>
      </w:r>
      <w:r w:rsidR="00454313">
        <w:t xml:space="preserve">Note that a particle with mass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sidR="00454313">
        <w:t xml:space="preserve"> might be transmitted by the CPMA as a singly charged particle, doubly charged particle, or other multiply charged particle</w:t>
      </w:r>
      <m:oMath>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/1=2</m:t>
            </m:r>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/2=q</m:t>
            </m:r>
            <m:sSub>
              <m:sSubPr>
                <m:ctrlPr>
                  <w:rPr>
                    <w:rFonts w:ascii="Cambria Math" w:hAnsi="Cambria Math"/>
                    <w:i/>
                  </w:rPr>
                </m:ctrlPr>
              </m:sSubPr>
              <m:e>
                <m:r>
                  <w:rPr>
                    <w:rFonts w:ascii="Cambria Math" w:hAnsi="Cambria Math"/>
                  </w:rPr>
                  <m:t>m</m:t>
                </m:r>
              </m:e>
              <m:sub>
                <m:r>
                  <w:rPr>
                    <w:rFonts w:ascii="Cambria Math" w:hAnsi="Cambria Math"/>
                  </w:rPr>
                  <m:t>3</m:t>
                </m:r>
              </m:sub>
            </m:sSub>
            <m:r>
              <w:rPr>
                <w:rFonts w:ascii="Cambria Math" w:hAnsi="Cambria Math"/>
              </w:rPr>
              <m:t>/q</m:t>
            </m:r>
          </m:e>
        </m:d>
      </m:oMath>
      <w:r w:rsidR="00454313">
        <w:t xml:space="preserve">. This fact can be captured using a system of equations and simultaneously solved to determine </w:t>
      </w:r>
      <m:oMath>
        <m:sSub>
          <m:sSubPr>
            <m:ctrlPr>
              <w:rPr>
                <w:rFonts w:ascii="Cambria Math" w:hAnsi="Cambria Math"/>
                <w:i/>
                <w:vertAlign w:val="subscript"/>
              </w:rPr>
            </m:ctrlPr>
          </m:sSubPr>
          <m:e>
            <m:r>
              <m:rPr>
                <m:sty m:val="p"/>
              </m:rPr>
              <w:rPr>
                <w:rFonts w:ascii="Cambria Math" w:hAnsi="Cambria Math"/>
              </w:rPr>
              <m:t>MAC</m:t>
            </m:r>
            <m:ctrlPr>
              <w:rPr>
                <w:rFonts w:ascii="Cambria Math" w:hAnsi="Cambria Math"/>
              </w:rPr>
            </m:ctrlPr>
          </m:e>
          <m:sub>
            <m:r>
              <w:rPr>
                <w:rFonts w:ascii="Cambria Math" w:hAnsi="Cambria Math"/>
                <w:vertAlign w:val="subscript"/>
              </w:rPr>
              <m:t>q</m:t>
            </m:r>
          </m:sub>
        </m:sSub>
      </m:oMath>
      <w:r w:rsidR="00454313">
        <w:rPr>
          <w:vertAlign w:val="subscript"/>
        </w:rPr>
        <w:t xml:space="preserve"> </w:t>
      </w:r>
      <w:r w:rsidR="00454313" w:rsidRPr="00177DA0">
        <w:t>fo</w:t>
      </w:r>
      <w:r w:rsidR="00454313">
        <w:t xml:space="preserve">r </w:t>
      </w:r>
      <w:proofErr w:type="gramStart"/>
      <w:r w:rsidR="00454313">
        <w:t xml:space="preserve">all </w:t>
      </w:r>
      <w:proofErr w:type="gramEnd"/>
      <m:oMath>
        <m:sSub>
          <m:sSubPr>
            <m:ctrlPr>
              <w:rPr>
                <w:rFonts w:ascii="Cambria Math" w:hAnsi="Cambria Math"/>
                <w:i/>
              </w:rPr>
            </m:ctrlPr>
          </m:sSubPr>
          <m:e>
            <m:r>
              <w:rPr>
                <w:rFonts w:ascii="Cambria Math" w:hAnsi="Cambria Math"/>
              </w:rPr>
              <m:t>m</m:t>
            </m:r>
          </m:e>
          <m:sub>
            <m:r>
              <w:rPr>
                <w:rFonts w:ascii="Cambria Math" w:hAnsi="Cambria Math"/>
              </w:rPr>
              <m:t>q</m:t>
            </m:r>
          </m:sub>
        </m:sSub>
      </m:oMath>
      <w:r w:rsidR="00454313">
        <w:t xml:space="preserve">. </w:t>
      </w:r>
    </w:p>
    <w:p w14:paraId="26D532F0" w14:textId="77777777" w:rsidR="00454313" w:rsidRDefault="00454313" w:rsidP="00454313"/>
    <w:p w14:paraId="5C0FF8ED" w14:textId="62162E75" w:rsidR="00454313" w:rsidRDefault="00454313" w:rsidP="00454313">
      <w:r>
        <w:t>In order to construct a system of equations that is over-constrained (more measurement points than degrees of freedom), we first consolidated the mass fractions</w:t>
      </w:r>
      <w:r w:rsidR="00E010AC">
        <w:t xml:space="preserve"> of the CPMA classified particles</w:t>
      </w:r>
      <w:r>
        <w:t xml:space="preserve"> (</w:t>
      </w:r>
      <m:oMath>
        <m:r>
          <w:rPr>
            <w:rFonts w:ascii="Cambria Math" w:hAnsi="Cambria Math"/>
          </w:rPr>
          <m:t>f</m:t>
        </m:r>
        <m:sSub>
          <m:sSubPr>
            <m:ctrlPr>
              <w:rPr>
                <w:rFonts w:ascii="Cambria Math" w:hAnsi="Cambria Math"/>
                <w:i/>
              </w:rPr>
            </m:ctrlPr>
          </m:sSubPr>
          <m:e>
            <m:r>
              <m:rPr>
                <m:sty m:val="p"/>
              </m:rPr>
              <w:rPr>
                <w:rFonts w:ascii="Cambria Math" w:hAnsi="Cambria Math"/>
              </w:rPr>
              <w:softHyphen/>
            </m:r>
          </m:e>
          <m:sub>
            <m:r>
              <w:rPr>
                <w:rFonts w:ascii="Cambria Math" w:hAnsi="Cambria Math"/>
              </w:rPr>
              <m:t>i,j</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i,j</m:t>
            </m:r>
          </m:sub>
        </m:sSub>
        <m:sSub>
          <m:sSubPr>
            <m:ctrlPr>
              <w:rPr>
                <w:rFonts w:ascii="Cambria Math" w:hAnsi="Cambria Math"/>
                <w:i/>
              </w:rPr>
            </m:ctrlPr>
          </m:sSubPr>
          <m:e>
            <m:r>
              <w:rPr>
                <w:rFonts w:ascii="Cambria Math" w:hAnsi="Cambria Math"/>
              </w:rPr>
              <m:t>m</m:t>
            </m:r>
          </m:e>
          <m:sub>
            <m:r>
              <w:rPr>
                <w:rFonts w:ascii="Cambria Math" w:hAnsi="Cambria Math"/>
              </w:rPr>
              <m:t>j</m:t>
            </m:r>
          </m:sub>
        </m:sSub>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n</m:t>
                </m:r>
              </m:e>
              <m:sub>
                <m:r>
                  <w:rPr>
                    <w:rFonts w:ascii="Cambria Math" w:hAnsi="Cambria Math"/>
                  </w:rPr>
                  <m:t>i,j</m:t>
                </m:r>
              </m:sub>
            </m:sSub>
            <m:sSub>
              <m:sSubPr>
                <m:ctrlPr>
                  <w:rPr>
                    <w:rFonts w:ascii="Cambria Math" w:hAnsi="Cambria Math"/>
                    <w:i/>
                  </w:rPr>
                </m:ctrlPr>
              </m:sSubPr>
              <m:e>
                <m:r>
                  <w:rPr>
                    <w:rFonts w:ascii="Cambria Math" w:hAnsi="Cambria Math"/>
                  </w:rPr>
                  <m:t>m</m:t>
                </m:r>
              </m:e>
              <m:sub>
                <m:r>
                  <w:rPr>
                    <w:rFonts w:ascii="Cambria Math" w:hAnsi="Cambria Math"/>
                  </w:rPr>
                  <m:t>j</m:t>
                </m:r>
              </m:sub>
            </m:sSub>
          </m:e>
        </m:nary>
      </m:oMath>
      <w:r>
        <w:softHyphen/>
        <w:t>) into a matrix of common mass bins (</w:t>
      </w:r>
      <w:r w:rsidRPr="00EF2A8C">
        <w:t>columns</w:t>
      </w:r>
      <w:r>
        <w:t>) for all test points (</w:t>
      </w:r>
      <w:r w:rsidRPr="00B61EEC">
        <w:t>rows</w:t>
      </w:r>
      <w:r>
        <w:t>), then consolidated this matrix into a number of log-spaced mass bins that was a factor of 2 to 4 smaller than the number of test points. The consolidated matrix was further simplified by (</w:t>
      </w:r>
      <w:r w:rsidR="001817A6">
        <w:t>a</w:t>
      </w:r>
      <w:r>
        <w:t>) removing mass bins</w:t>
      </w:r>
      <w:r w:rsidR="00881390">
        <w:t xml:space="preserve"> (i.e. columns of matrix)</w:t>
      </w:r>
      <w:r>
        <w:t xml:space="preserve"> that were often empty (i.e. </w:t>
      </w:r>
      <m:oMath>
        <m:r>
          <w:rPr>
            <w:rFonts w:ascii="Cambria Math" w:hAnsi="Cambria Math"/>
          </w:rPr>
          <m:t>f</m:t>
        </m:r>
        <m:sSub>
          <m:sSubPr>
            <m:ctrlPr>
              <w:rPr>
                <w:rFonts w:ascii="Cambria Math" w:hAnsi="Cambria Math"/>
                <w:i/>
              </w:rPr>
            </m:ctrlPr>
          </m:sSubPr>
          <m:e>
            <m:r>
              <m:rPr>
                <m:sty m:val="p"/>
              </m:rPr>
              <w:rPr>
                <w:rFonts w:ascii="Cambria Math" w:hAnsi="Cambria Math"/>
              </w:rPr>
              <w:softHyphen/>
            </m:r>
          </m:e>
          <m:sub>
            <m:r>
              <w:rPr>
                <w:rFonts w:ascii="Cambria Math" w:hAnsi="Cambria Math"/>
              </w:rPr>
              <m:t>i,j</m:t>
            </m:r>
          </m:sub>
        </m:sSub>
        <m:r>
          <w:rPr>
            <w:rFonts w:ascii="Cambria Math" w:hAnsi="Cambria Math"/>
          </w:rPr>
          <m:t>&gt;0.01</m:t>
        </m:r>
      </m:oMath>
      <w:r>
        <w:t xml:space="preserve"> </w:t>
      </w:r>
      <w:r w:rsidR="00572AC5">
        <w:t xml:space="preserve">in </w:t>
      </w:r>
      <w:r>
        <w:t xml:space="preserve">fewer than three </w:t>
      </w:r>
      <w:r w:rsidR="00572AC5">
        <w:t xml:space="preserve">bins at a given value of </w:t>
      </w:r>
      <m:oMath>
        <m:r>
          <w:rPr>
            <w:rFonts w:ascii="Cambria Math" w:hAnsi="Cambria Math"/>
          </w:rPr>
          <m:t>j</m:t>
        </m:r>
      </m:oMath>
      <w:r>
        <w:t>) and (</w:t>
      </w:r>
      <w:r w:rsidR="001817A6">
        <w:t>b</w:t>
      </w:r>
      <w:r>
        <w:t xml:space="preserve">) by removing test points where the mass distribution was no longer adequately represented (i.e. </w:t>
      </w:r>
      <m:oMath>
        <m:nary>
          <m:naryPr>
            <m:chr m:val="∑"/>
            <m:limLoc m:val="subSup"/>
            <m:supHide m:val="1"/>
            <m:ctrlPr>
              <w:rPr>
                <w:rFonts w:ascii="Cambria Math" w:hAnsi="Cambria Math"/>
                <w:i/>
              </w:rPr>
            </m:ctrlPr>
          </m:naryPr>
          <m:sub>
            <m:r>
              <w:rPr>
                <w:rFonts w:ascii="Cambria Math" w:hAnsi="Cambria Math"/>
              </w:rPr>
              <m:t>j</m:t>
            </m:r>
          </m:sub>
          <m:sup/>
          <m:e>
            <m:r>
              <w:rPr>
                <w:rFonts w:ascii="Cambria Math" w:hAnsi="Cambria Math"/>
              </w:rPr>
              <m:t>f</m:t>
            </m:r>
            <m:sSub>
              <m:sSubPr>
                <m:ctrlPr>
                  <w:rPr>
                    <w:rFonts w:ascii="Cambria Math" w:hAnsi="Cambria Math"/>
                    <w:i/>
                  </w:rPr>
                </m:ctrlPr>
              </m:sSubPr>
              <m:e>
                <m:r>
                  <m:rPr>
                    <m:sty m:val="p"/>
                  </m:rPr>
                  <w:rPr>
                    <w:rFonts w:ascii="Cambria Math" w:hAnsi="Cambria Math"/>
                  </w:rPr>
                  <w:softHyphen/>
                </m:r>
              </m:e>
              <m:sub>
                <m:r>
                  <m:rPr>
                    <m:sty m:val="p"/>
                  </m:rPr>
                  <w:rPr>
                    <w:rFonts w:ascii="Cambria Math" w:hAnsi="Cambria Math"/>
                  </w:rPr>
                  <m:t>i</m:t>
                </m:r>
                <m:r>
                  <w:rPr>
                    <w:rFonts w:ascii="Cambria Math" w:hAnsi="Cambria Math"/>
                  </w:rPr>
                  <m:t>,j</m:t>
                </m:r>
              </m:sub>
            </m:sSub>
          </m:e>
        </m:nary>
        <m:r>
          <w:rPr>
            <w:rFonts w:ascii="Cambria Math" w:hAnsi="Cambria Math"/>
          </w:rPr>
          <m:t>&lt;0.99</m:t>
        </m:r>
      </m:oMath>
      <w:r>
        <w:t>) after this consolidation process</w:t>
      </w:r>
      <w:r w:rsidR="00881390">
        <w:t xml:space="preserve">. The </w:t>
      </w:r>
      <w:r w:rsidR="007D53EE">
        <w:t xml:space="preserve">second </w:t>
      </w:r>
      <w:r w:rsidR="005F05CF">
        <w:t>criteria</w:t>
      </w:r>
      <w:r w:rsidR="00881390">
        <w:t xml:space="preserve"> </w:t>
      </w:r>
      <w:r w:rsidR="00713CA6">
        <w:t xml:space="preserve">was rarely </w:t>
      </w:r>
      <w:r w:rsidR="00BC1720">
        <w:t xml:space="preserve">implemented </w:t>
      </w:r>
      <w:r w:rsidR="00713CA6">
        <w:t xml:space="preserve">and was </w:t>
      </w:r>
      <w:r w:rsidR="00881390">
        <w:t>mostly</w:t>
      </w:r>
      <w:r w:rsidR="005F05CF">
        <w:t xml:space="preserve"> applied</w:t>
      </w:r>
      <w:r>
        <w:t xml:space="preserve"> </w:t>
      </w:r>
      <w:r w:rsidR="005712FE">
        <w:t>to</w:t>
      </w:r>
      <w:r>
        <w:t xml:space="preserve"> samples </w:t>
      </w:r>
      <w:r w:rsidR="001D0BA6">
        <w:t>that</w:t>
      </w:r>
      <w:r w:rsidR="002B63B0">
        <w:t xml:space="preserve"> had multiple mass bins removed for not meeting criteri</w:t>
      </w:r>
      <w:r w:rsidR="001817A6">
        <w:t>on</w:t>
      </w:r>
      <w:r w:rsidR="002B63B0">
        <w:t xml:space="preserve"> (</w:t>
      </w:r>
      <w:r w:rsidR="001817A6">
        <w:t>a</w:t>
      </w:r>
      <w:r w:rsidR="002B63B0">
        <w:t xml:space="preserve">) due to </w:t>
      </w:r>
      <w:r w:rsidR="001D0BA6">
        <w:t xml:space="preserve">not </w:t>
      </w:r>
      <w:r w:rsidR="0091128F">
        <w:t>overlapping</w:t>
      </w:r>
      <w:r w:rsidR="00153328">
        <w:t xml:space="preserve"> in the mass dom</w:t>
      </w:r>
      <w:r w:rsidR="003C52C8">
        <w:t>ain</w:t>
      </w:r>
      <w:r w:rsidR="002B63B0">
        <w:t xml:space="preserve"> of </w:t>
      </w:r>
      <w:r w:rsidR="00EA1F51">
        <w:t xml:space="preserve">at least two </w:t>
      </w:r>
      <w:r w:rsidR="002B63B0">
        <w:t>other samples</w:t>
      </w:r>
      <w:r>
        <w:t xml:space="preserve">. </w:t>
      </w:r>
    </w:p>
    <w:p w14:paraId="6BCD90D5" w14:textId="77777777" w:rsidR="00454313" w:rsidRDefault="00454313" w:rsidP="00454313">
      <w:pPr>
        <w:pStyle w:val="Paragraph"/>
      </w:pPr>
    </w:p>
    <w:p w14:paraId="483A3B6E" w14:textId="01ABA807" w:rsidR="00454313" w:rsidRDefault="00454313" w:rsidP="00454313">
      <w:r>
        <w:t xml:space="preserve">The consolidated matrix can be written by defining </w:t>
      </w:r>
      <m:oMath>
        <m:sSub>
          <m:sSubPr>
            <m:ctrlPr>
              <w:rPr>
                <w:rFonts w:ascii="Cambria Math" w:hAnsi="Cambria Math"/>
                <w:i/>
              </w:rPr>
            </m:ctrlPr>
          </m:sSubPr>
          <m:e>
            <m:r>
              <w:rPr>
                <w:rFonts w:ascii="Cambria Math" w:hAnsi="Cambria Math"/>
              </w:rPr>
              <m:t>f</m:t>
            </m:r>
          </m:e>
          <m:sub>
            <m:r>
              <w:rPr>
                <w:rFonts w:ascii="Cambria Math" w:hAnsi="Cambria Math"/>
              </w:rPr>
              <m:t>i,j</m:t>
            </m:r>
          </m:sub>
        </m:sSub>
      </m:oMath>
      <w:r>
        <w:t xml:space="preserve"> as the </w:t>
      </w:r>
      <w:r w:rsidR="00AC5327">
        <w:t xml:space="preserve">mass </w:t>
      </w:r>
      <w:r>
        <w:t xml:space="preserve">fraction of particles with mass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t xml:space="preserve"> at test point </w:t>
      </w:r>
      <m:oMath>
        <m:r>
          <w:rPr>
            <w:rFonts w:ascii="Cambria Math" w:hAnsi="Cambria Math"/>
          </w:rPr>
          <m:t>i</m:t>
        </m:r>
      </m:oMath>
      <w:r>
        <w:t xml:space="preserve"> as:</w:t>
      </w:r>
    </w:p>
    <w:p w14:paraId="7D06D522" w14:textId="77777777" w:rsidR="00454313" w:rsidRPr="00F61493" w:rsidRDefault="00454313" w:rsidP="00454313">
      <w:pPr>
        <w:pStyle w:val="Newparagraph"/>
      </w:pPr>
    </w:p>
    <w:tbl>
      <w:tblPr>
        <w:tblStyle w:val="TableGrid"/>
        <w:tblW w:w="0" w:type="auto"/>
        <w:jc w:val="center"/>
        <w:tblLook w:val="04A0" w:firstRow="1" w:lastRow="0" w:firstColumn="1" w:lastColumn="0" w:noHBand="0" w:noVBand="1"/>
      </w:tblPr>
      <w:tblGrid>
        <w:gridCol w:w="704"/>
        <w:gridCol w:w="6946"/>
        <w:gridCol w:w="839"/>
      </w:tblGrid>
      <w:tr w:rsidR="00454313" w14:paraId="4920DB80" w14:textId="77777777" w:rsidTr="00E629EA">
        <w:trPr>
          <w:jc w:val="center"/>
        </w:trPr>
        <w:tc>
          <w:tcPr>
            <w:tcW w:w="704" w:type="dxa"/>
            <w:tcBorders>
              <w:top w:val="nil"/>
              <w:left w:val="nil"/>
              <w:bottom w:val="nil"/>
              <w:right w:val="nil"/>
            </w:tcBorders>
          </w:tcPr>
          <w:p w14:paraId="0A2B61F4" w14:textId="77777777" w:rsidR="00454313" w:rsidRDefault="00454313" w:rsidP="00203E1D">
            <w:pPr>
              <w:pStyle w:val="Newparagraph"/>
              <w:ind w:firstLine="0"/>
              <w:jc w:val="center"/>
            </w:pPr>
          </w:p>
        </w:tc>
        <w:tc>
          <w:tcPr>
            <w:tcW w:w="6946" w:type="dxa"/>
            <w:tcBorders>
              <w:top w:val="nil"/>
              <w:left w:val="nil"/>
              <w:bottom w:val="nil"/>
              <w:right w:val="nil"/>
            </w:tcBorders>
          </w:tcPr>
          <w:p w14:paraId="3D5996FF" w14:textId="72CD7D30" w:rsidR="00454313" w:rsidRDefault="00CC289F" w:rsidP="00572AC5">
            <w:pPr>
              <w:pStyle w:val="Newparagraph"/>
              <w:ind w:firstLine="0"/>
            </w:pPr>
            <m:oMathPara>
              <m:oMath>
                <m:d>
                  <m:dPr>
                    <m:begChr m:val="["/>
                    <m:endChr m:val="]"/>
                    <m:ctrlPr>
                      <w:rPr>
                        <w:rFonts w:ascii="Cambria Math" w:hAnsi="Cambria Math"/>
                        <w:b/>
                      </w:rPr>
                    </m:ctrlPr>
                  </m:dPr>
                  <m:e>
                    <m:m>
                      <m:mPr>
                        <m:mcs>
                          <m:mc>
                            <m:mcPr>
                              <m:count m:val="3"/>
                              <m:mcJc m:val="center"/>
                            </m:mcPr>
                          </m:mc>
                        </m:mcs>
                        <m:ctrlPr>
                          <w:rPr>
                            <w:rFonts w:ascii="Cambria Math" w:hAnsi="Cambria Math"/>
                          </w:rPr>
                        </m:ctrlPr>
                      </m:mPr>
                      <m:mr>
                        <m:e>
                          <m:sSub>
                            <m:sSubPr>
                              <m:ctrlPr>
                                <w:rPr>
                                  <w:rFonts w:ascii="Cambria Math" w:hAnsi="Cambria Math"/>
                                  <w:i/>
                                </w:rPr>
                              </m:ctrlPr>
                            </m:sSubPr>
                            <m:e>
                              <m:r>
                                <w:rPr>
                                  <w:rFonts w:ascii="Cambria Math" w:hAnsi="Cambria Math"/>
                                </w:rPr>
                                <m:t>f</m:t>
                              </m:r>
                            </m:e>
                            <m:sub>
                              <m:r>
                                <w:rPr>
                                  <w:rFonts w:ascii="Cambria Math" w:hAnsi="Cambria Math"/>
                                </w:rPr>
                                <m:t>1,1</m:t>
                              </m:r>
                            </m:sub>
                          </m:sSub>
                        </m:e>
                        <m:e>
                          <m:r>
                            <m:rPr>
                              <m:sty m:val="p"/>
                            </m:rPr>
                            <w:rPr>
                              <w:rFonts w:ascii="Cambria Math" w:hAnsi="Cambria Math"/>
                            </w:rPr>
                            <m:t>⋯</m:t>
                          </m:r>
                        </m:e>
                        <m:e>
                          <m:sSub>
                            <m:sSubPr>
                              <m:ctrlPr>
                                <w:rPr>
                                  <w:rFonts w:ascii="Cambria Math" w:hAnsi="Cambria Math"/>
                                  <w:i/>
                                </w:rPr>
                              </m:ctrlPr>
                            </m:sSubPr>
                            <m:e>
                              <m:r>
                                <w:rPr>
                                  <w:rFonts w:ascii="Cambria Math" w:hAnsi="Cambria Math"/>
                                </w:rPr>
                                <m:t>f</m:t>
                              </m:r>
                            </m:e>
                            <m:sub>
                              <m:r>
                                <w:rPr>
                                  <w:rFonts w:ascii="Cambria Math" w:hAnsi="Cambria Math"/>
                                </w:rPr>
                                <m:t>1,j</m:t>
                              </m:r>
                            </m:sub>
                          </m:sSub>
                        </m:e>
                      </m:mr>
                      <m:mr>
                        <m:e>
                          <m:r>
                            <m:rPr>
                              <m:sty m:val="p"/>
                            </m:rPr>
                            <w:rPr>
                              <w:rFonts w:ascii="Cambria Math" w:hAnsi="Cambria Math"/>
                            </w:rPr>
                            <m:t>⋮</m:t>
                          </m:r>
                        </m:e>
                        <m:e>
                          <m:r>
                            <m:rPr>
                              <m:sty m:val="p"/>
                            </m:rPr>
                            <w:rPr>
                              <w:rFonts w:ascii="Cambria Math" w:hAnsi="Cambria Math"/>
                            </w:rPr>
                            <m:t>⋱</m:t>
                          </m:r>
                        </m:e>
                        <m:e>
                          <m:r>
                            <m:rPr>
                              <m:sty m:val="p"/>
                            </m:rPr>
                            <w:rPr>
                              <w:rFonts w:ascii="Cambria Math" w:hAnsi="Cambria Math"/>
                            </w:rPr>
                            <m:t>⋮</m:t>
                          </m:r>
                        </m:e>
                      </m:mr>
                      <m:mr>
                        <m:e>
                          <m:sSub>
                            <m:sSubPr>
                              <m:ctrlPr>
                                <w:rPr>
                                  <w:rFonts w:ascii="Cambria Math" w:hAnsi="Cambria Math"/>
                                  <w:i/>
                                </w:rPr>
                              </m:ctrlPr>
                            </m:sSubPr>
                            <m:e>
                              <m:r>
                                <w:rPr>
                                  <w:rFonts w:ascii="Cambria Math" w:hAnsi="Cambria Math"/>
                                </w:rPr>
                                <m:t>f</m:t>
                              </m:r>
                            </m:e>
                            <m:sub>
                              <m:r>
                                <w:rPr>
                                  <w:rFonts w:ascii="Cambria Math" w:hAnsi="Cambria Math"/>
                                </w:rPr>
                                <m:t>i,1</m:t>
                              </m:r>
                            </m:sub>
                          </m:sSub>
                        </m:e>
                        <m:e>
                          <m:r>
                            <m:rPr>
                              <m:sty m:val="p"/>
                            </m:rPr>
                            <w:rPr>
                              <w:rFonts w:ascii="Cambria Math" w:hAnsi="Cambria Math"/>
                            </w:rPr>
                            <m:t>⋯</m:t>
                          </m:r>
                        </m:e>
                        <m:e>
                          <m:sSub>
                            <m:sSubPr>
                              <m:ctrlPr>
                                <w:rPr>
                                  <w:rFonts w:ascii="Cambria Math" w:hAnsi="Cambria Math"/>
                                  <w:i/>
                                </w:rPr>
                              </m:ctrlPr>
                            </m:sSubPr>
                            <m:e>
                              <m:r>
                                <w:rPr>
                                  <w:rFonts w:ascii="Cambria Math" w:hAnsi="Cambria Math"/>
                                </w:rPr>
                                <m:t>f</m:t>
                              </m:r>
                            </m:e>
                            <m:sub>
                              <m:r>
                                <w:rPr>
                                  <w:rFonts w:ascii="Cambria Math" w:hAnsi="Cambria Math"/>
                                </w:rPr>
                                <m:t>i,j</m:t>
                              </m:r>
                            </m:sub>
                          </m:sSub>
                        </m:e>
                      </m:mr>
                    </m:m>
                  </m:e>
                </m:d>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rPr>
                              </m:ctrlPr>
                            </m:sSubPr>
                            <m:e>
                              <m:r>
                                <m:rPr>
                                  <m:sty m:val="p"/>
                                </m:rPr>
                                <w:rPr>
                                  <w:rFonts w:ascii="Cambria Math" w:hAnsi="Cambria Math"/>
                                </w:rPr>
                                <m:t>MAC</m:t>
                              </m:r>
                            </m:e>
                            <m:sub>
                              <m:sSub>
                                <m:sSubPr>
                                  <m:ctrlPr>
                                    <w:rPr>
                                      <w:rFonts w:ascii="Cambria Math" w:hAnsi="Cambria Math"/>
                                      <w:i/>
                                    </w:rPr>
                                  </m:ctrlPr>
                                </m:sSubPr>
                                <m:e>
                                  <m:r>
                                    <w:rPr>
                                      <w:rFonts w:ascii="Cambria Math" w:hAnsi="Cambria Math"/>
                                    </w:rPr>
                                    <m:t>m</m:t>
                                  </m:r>
                                </m:e>
                                <m:sub>
                                  <m:r>
                                    <w:rPr>
                                      <w:rFonts w:ascii="Cambria Math" w:hAnsi="Cambria Math"/>
                                    </w:rPr>
                                    <m:t>1</m:t>
                                  </m:r>
                                </m:sub>
                              </m:sSub>
                            </m:sub>
                          </m:sSub>
                        </m:e>
                      </m:mr>
                      <m:mr>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MAC</m:t>
                              </m:r>
                            </m:e>
                            <m:sub>
                              <m:sSub>
                                <m:sSubPr>
                                  <m:ctrlPr>
                                    <w:rPr>
                                      <w:rFonts w:ascii="Cambria Math" w:hAnsi="Cambria Math"/>
                                      <w:i/>
                                    </w:rPr>
                                  </m:ctrlPr>
                                </m:sSubPr>
                                <m:e>
                                  <m:r>
                                    <w:rPr>
                                      <w:rFonts w:ascii="Cambria Math" w:hAnsi="Cambria Math"/>
                                    </w:rPr>
                                    <m:t>m</m:t>
                                  </m:r>
                                </m:e>
                                <m:sub>
                                  <m:r>
                                    <w:rPr>
                                      <w:rFonts w:ascii="Cambria Math" w:hAnsi="Cambria Math"/>
                                    </w:rPr>
                                    <m:t>j</m:t>
                                  </m:r>
                                </m:sub>
                              </m:sSub>
                            </m:sub>
                          </m:sSub>
                          <m:r>
                            <m:rPr>
                              <m:sty m:val="p"/>
                            </m:rPr>
                            <w:rPr>
                              <w:rFonts w:ascii="Cambria Math" w:hAnsi="Cambria Math"/>
                            </w:rPr>
                            <m:t xml:space="preserve"> </m:t>
                          </m:r>
                        </m:e>
                      </m:mr>
                    </m:m>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rPr>
                              </m:ctrlPr>
                            </m:sSubPr>
                            <m:e>
                              <m:r>
                                <m:rPr>
                                  <m:sty m:val="p"/>
                                </m:rPr>
                                <w:rPr>
                                  <w:rFonts w:ascii="Cambria Math" w:hAnsi="Cambria Math"/>
                                </w:rPr>
                                <m:t>MAC</m:t>
                              </m:r>
                            </m:e>
                            <m:sub>
                              <m:r>
                                <m:rPr>
                                  <m:sty m:val="p"/>
                                </m:rPr>
                                <w:rPr>
                                  <w:rFonts w:ascii="Cambria Math" w:hAnsi="Cambria Math"/>
                                </w:rPr>
                                <m:t>1</m:t>
                              </m:r>
                            </m:sub>
                          </m:sSub>
                        </m:e>
                      </m:mr>
                      <m:mr>
                        <m:e>
                          <m:r>
                            <m:rPr>
                              <m:sty m:val="p"/>
                            </m:rPr>
                            <w:rPr>
                              <w:rFonts w:ascii="Cambria Math" w:hAnsi="Cambria Math"/>
                            </w:rPr>
                            <m:t>⋮</m:t>
                          </m:r>
                        </m:e>
                      </m:mr>
                      <m:mr>
                        <m:e>
                          <m:sSub>
                            <m:sSubPr>
                              <m:ctrlPr>
                                <w:rPr>
                                  <w:rFonts w:ascii="Cambria Math" w:hAnsi="Cambria Math"/>
                                </w:rPr>
                              </m:ctrlPr>
                            </m:sSubPr>
                            <m:e>
                              <m:r>
                                <m:rPr>
                                  <m:sty m:val="p"/>
                                </m:rPr>
                                <w:rPr>
                                  <w:rFonts w:ascii="Cambria Math" w:hAnsi="Cambria Math"/>
                                </w:rPr>
                                <m:t>MAC</m:t>
                              </m:r>
                            </m:e>
                            <m:sub>
                              <m:r>
                                <w:rPr>
                                  <w:rFonts w:ascii="Cambria Math" w:hAnsi="Cambria Math"/>
                                </w:rPr>
                                <m:t>i</m:t>
                              </m:r>
                            </m:sub>
                          </m:sSub>
                          <m:r>
                            <m:rPr>
                              <m:sty m:val="p"/>
                            </m:rPr>
                            <w:rPr>
                              <w:rFonts w:ascii="Cambria Math" w:hAnsi="Cambria Math"/>
                            </w:rPr>
                            <m:t xml:space="preserve"> </m:t>
                          </m:r>
                        </m:e>
                      </m:mr>
                    </m:m>
                  </m:e>
                </m:d>
              </m:oMath>
            </m:oMathPara>
          </w:p>
        </w:tc>
        <w:tc>
          <w:tcPr>
            <w:tcW w:w="839" w:type="dxa"/>
            <w:tcBorders>
              <w:top w:val="nil"/>
              <w:left w:val="nil"/>
              <w:bottom w:val="nil"/>
              <w:right w:val="nil"/>
            </w:tcBorders>
            <w:vAlign w:val="center"/>
          </w:tcPr>
          <w:p w14:paraId="310287CF" w14:textId="12A5AB81" w:rsidR="00454313" w:rsidRDefault="002B4A52" w:rsidP="00A82B1A">
            <w:pPr>
              <w:pStyle w:val="Newparagraph"/>
              <w:ind w:firstLine="0"/>
              <w:jc w:val="center"/>
            </w:pPr>
            <w:r>
              <w:rPr>
                <w:noProof/>
              </w:rPr>
              <w:t>S</w:t>
            </w:r>
            <w:r w:rsidR="003E052F">
              <w:rPr>
                <w:noProof/>
              </w:rPr>
              <w:t>5</w:t>
            </w:r>
          </w:p>
        </w:tc>
      </w:tr>
    </w:tbl>
    <w:p w14:paraId="5912D675" w14:textId="77777777" w:rsidR="00454313" w:rsidRDefault="00454313" w:rsidP="00454313">
      <w:pPr>
        <w:pStyle w:val="Newparagraph"/>
        <w:ind w:firstLine="0"/>
      </w:pPr>
    </w:p>
    <w:p w14:paraId="14441228" w14:textId="670B0A8F" w:rsidR="00454313" w:rsidRPr="00454313" w:rsidRDefault="00454313" w:rsidP="005224DA">
      <w:pPr>
        <w:pStyle w:val="Newparagraph"/>
        <w:ind w:firstLine="0"/>
      </w:pPr>
      <w:proofErr w:type="gramStart"/>
      <w:r>
        <w:t>which</w:t>
      </w:r>
      <w:proofErr w:type="gramEnd"/>
      <w:r>
        <w:t xml:space="preserve"> is a system of equations that </w:t>
      </w:r>
      <w:r w:rsidR="00572AC5">
        <w:t xml:space="preserve">represents the measured </w:t>
      </w:r>
      <w:proofErr w:type="spellStart"/>
      <w:r w:rsidR="00572AC5">
        <w:t>MAC</w:t>
      </w:r>
      <w:r w:rsidR="00572AC5">
        <w:rPr>
          <w:i/>
          <w:vertAlign w:val="subscript"/>
        </w:rPr>
        <w:t>i</w:t>
      </w:r>
      <w:proofErr w:type="spellEnd"/>
      <w:r w:rsidR="00572AC5">
        <w:t xml:space="preserve"> as a sum of the (potentially) different </w:t>
      </w:r>
      <m:oMath>
        <m:sSub>
          <m:sSubPr>
            <m:ctrlPr>
              <w:rPr>
                <w:rFonts w:ascii="Cambria Math" w:hAnsi="Cambria Math"/>
              </w:rPr>
            </m:ctrlPr>
          </m:sSubPr>
          <m:e>
            <m:r>
              <m:rPr>
                <m:sty m:val="p"/>
              </m:rPr>
              <w:rPr>
                <w:rFonts w:ascii="Cambria Math" w:hAnsi="Cambria Math"/>
              </w:rPr>
              <m:t>MAC</m:t>
            </m:r>
          </m:e>
          <m:sub>
            <m:sSub>
              <m:sSubPr>
                <m:ctrlPr>
                  <w:rPr>
                    <w:rFonts w:ascii="Cambria Math" w:hAnsi="Cambria Math"/>
                    <w:i/>
                  </w:rPr>
                </m:ctrlPr>
              </m:sSubPr>
              <m:e>
                <m:r>
                  <w:rPr>
                    <w:rFonts w:ascii="Cambria Math" w:hAnsi="Cambria Math"/>
                  </w:rPr>
                  <m:t>m</m:t>
                </m:r>
              </m:e>
              <m:sub>
                <m:r>
                  <w:rPr>
                    <w:rFonts w:ascii="Cambria Math" w:hAnsi="Cambria Math"/>
                  </w:rPr>
                  <m:t>j</m:t>
                </m:r>
              </m:sub>
            </m:sSub>
          </m:sub>
        </m:sSub>
      </m:oMath>
      <w:r w:rsidR="00572AC5">
        <w:t xml:space="preserve"> for each single-particle mass bin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sidR="00572AC5">
        <w:t xml:space="preserve">. </w:t>
      </w:r>
      <w:r>
        <w:t xml:space="preserve">This system of equations was solved by applying least-squares minimization </w:t>
      </w:r>
      <w:r w:rsidR="00D00EDC">
        <w:t xml:space="preserve">inversely </w:t>
      </w:r>
      <w:r>
        <w:t xml:space="preserve">weighted by the standard deviation of the </w:t>
      </w:r>
      <w:r w:rsidR="00BC1C57">
        <w:t xml:space="preserve">average </w:t>
      </w:r>
      <w:r>
        <w:t xml:space="preserve">measured MAC at each test point plus 1% </w:t>
      </w:r>
      <w:r>
        <w:lastRenderedPageBreak/>
        <w:t xml:space="preserve">of the </w:t>
      </w:r>
      <w:r w:rsidR="00BC1C57">
        <w:t>average measured MAC</w:t>
      </w:r>
      <w:r>
        <w:t xml:space="preserve">.  The 1% offset was included in the fit normalization to reduce the preferential weighting that least-squares minimization inherently places on the largest values measured and follows previous recommendations </w:t>
      </w:r>
      <w:r w:rsidR="00D158BE" w:rsidRPr="00D158BE">
        <w:rPr>
          <w:noProof/>
        </w:rPr>
        <w:t>[71]</w:t>
      </w:r>
      <w:r>
        <w:t>.  This second method</w:t>
      </w:r>
      <w:r w:rsidR="0081616C">
        <w:t xml:space="preserve"> based on the estimated mass distribution</w:t>
      </w:r>
      <w:r>
        <w:t xml:space="preserve"> is referred to as the system-of-equations </w:t>
      </w:r>
      <w:r w:rsidR="00EA1C8D">
        <w:t>approach</w:t>
      </w:r>
      <w:r>
        <w:t xml:space="preserve">, and its uncertainties for a </w:t>
      </w:r>
      <w:r w:rsidR="00777B21">
        <w:t xml:space="preserve">k=1 coverage factor </w:t>
      </w:r>
      <w:r>
        <w:t xml:space="preserve">were determined by bootstrapping (repeatedly and randomly sampling a subset of the complete data set). </w:t>
      </w:r>
    </w:p>
    <w:p w14:paraId="71E4DE66" w14:textId="7C3AF68F" w:rsidR="000F1E49" w:rsidRDefault="00454313" w:rsidP="008A01F2">
      <w:pPr>
        <w:pStyle w:val="SIHeading2"/>
      </w:pPr>
      <w:bookmarkStart w:id="6" w:name="_Ref72852055"/>
      <w:r>
        <w:t xml:space="preserve">Validation of </w:t>
      </w:r>
      <w:r w:rsidR="004203DC">
        <w:t>iterative-</w:t>
      </w:r>
      <w:bookmarkEnd w:id="6"/>
      <w:r w:rsidR="004203DC">
        <w:t xml:space="preserve">average-charge </w:t>
      </w:r>
      <w:r w:rsidR="00431169">
        <w:t xml:space="preserve">(IAC) </w:t>
      </w:r>
      <w:r w:rsidR="004203DC">
        <w:t xml:space="preserve">approach to </w:t>
      </w:r>
      <m:oMath>
        <m:sSub>
          <m:sSubPr>
            <m:ctrlPr>
              <w:rPr>
                <w:rFonts w:ascii="Cambria Math" w:hAnsi="Cambria Math"/>
                <w:i/>
              </w:rPr>
            </m:ctrlPr>
          </m:sSubPr>
          <m:e>
            <m:r>
              <m:rPr>
                <m:sty m:val="bi"/>
              </m:rPr>
              <w:rPr>
                <w:rFonts w:ascii="Cambria Math" w:hAnsi="Cambria Math"/>
              </w:rPr>
              <m:t>m</m:t>
            </m:r>
          </m:e>
          <m:sub>
            <m:r>
              <m:rPr>
                <m:sty m:val="bi"/>
              </m:rPr>
              <w:rPr>
                <w:rFonts w:ascii="Cambria Math" w:hAnsi="Cambria Math"/>
              </w:rPr>
              <m:t>p</m:t>
            </m:r>
          </m:sub>
        </m:sSub>
      </m:oMath>
    </w:p>
    <w:p w14:paraId="6856A910" w14:textId="13A7B906" w:rsidR="00084AAB" w:rsidRDefault="00084AAB" w:rsidP="000F1E49"/>
    <w:p w14:paraId="1D4CCEEF" w14:textId="21721D6C" w:rsidR="00084AAB" w:rsidRDefault="00084AAB" w:rsidP="00084AAB">
      <w:r>
        <w:t xml:space="preserve">As mentioned in Section </w:t>
      </w:r>
      <w:r w:rsidR="003E052F">
        <w:t xml:space="preserve">2.6. </w:t>
      </w:r>
      <w:r>
        <w:t xml:space="preserve">, we also used the </w:t>
      </w:r>
      <m:oMath>
        <m:r>
          <w:rPr>
            <w:rFonts w:ascii="Cambria Math" w:hAnsi="Cambria Math"/>
          </w:rPr>
          <m:t>d</m:t>
        </m:r>
        <m:sSub>
          <m:sSubPr>
            <m:ctrlPr>
              <w:rPr>
                <w:rFonts w:ascii="Cambria Math" w:hAnsi="Cambria Math"/>
                <w:i/>
              </w:rPr>
            </m:ctrlPr>
          </m:sSubPr>
          <m:e>
            <m:r>
              <w:rPr>
                <w:rFonts w:ascii="Cambria Math" w:hAnsi="Cambria Math"/>
              </w:rPr>
              <m:t>N</m:t>
            </m:r>
          </m:e>
          <m:sub>
            <m:r>
              <w:rPr>
                <w:rFonts w:ascii="Cambria Math" w:hAnsi="Cambria Math"/>
              </w:rPr>
              <m:t>out</m:t>
            </m:r>
          </m:sub>
        </m:sSub>
        <m:r>
          <w:rPr>
            <w:rFonts w:ascii="Cambria Math" w:hAnsi="Cambria Math"/>
          </w:rPr>
          <m:t>/dlog</m:t>
        </m:r>
        <m:sSub>
          <m:sSubPr>
            <m:ctrlPr>
              <w:rPr>
                <w:rFonts w:ascii="Cambria Math" w:hAnsi="Cambria Math"/>
                <w:i/>
              </w:rPr>
            </m:ctrlPr>
          </m:sSubPr>
          <m:e>
            <m:r>
              <w:rPr>
                <w:rFonts w:ascii="Cambria Math" w:hAnsi="Cambria Math"/>
              </w:rPr>
              <m:t>m</m:t>
            </m:r>
          </m:e>
          <m:sub>
            <m:r>
              <w:rPr>
                <w:rFonts w:ascii="Cambria Math" w:hAnsi="Cambria Math"/>
              </w:rPr>
              <m:t>p</m:t>
            </m:r>
          </m:sub>
        </m:sSub>
      </m:oMath>
      <w:r w:rsidDel="00F066DB">
        <w:t xml:space="preserve"> </w:t>
      </w:r>
      <w:r>
        <w:t>predicted by the mass-and-charge distribution approach (</w:t>
      </w:r>
      <w:r w:rsidR="003E052F">
        <w:t xml:space="preserve">Figure </w:t>
      </w:r>
      <w:r w:rsidR="003E052F">
        <w:rPr>
          <w:noProof/>
        </w:rPr>
        <w:t>2</w:t>
      </w:r>
      <w:r>
        <w:t>b, Section </w:t>
      </w:r>
      <w:r w:rsidR="003E052F">
        <w:t xml:space="preserve">2.6. </w:t>
      </w:r>
      <w:r>
        <w:t xml:space="preserve">, and preceding SI subsection) to validate the simpler </w:t>
      </w:r>
      <w:r w:rsidR="00431169">
        <w:t>IAC</w:t>
      </w:r>
      <w:r>
        <w:t xml:space="preserve"> algorithm by calculating the relative number of particles of each charge state </w:t>
      </w:r>
      <m:oMath>
        <m:r>
          <w:rPr>
            <w:rFonts w:ascii="Cambria Math" w:hAnsi="Cambria Math"/>
          </w:rPr>
          <m:t>q</m:t>
        </m:r>
      </m:oMath>
      <w:r>
        <w:t xml:space="preserve"> exiting the CPMA at a given </w:t>
      </w:r>
      <w:proofErr w:type="spellStart"/>
      <w:r>
        <w:t>setpoint</w:t>
      </w:r>
      <w:proofErr w:type="spellEnd"/>
      <w:r>
        <w:t>.</w:t>
      </w:r>
    </w:p>
    <w:p w14:paraId="29770786" w14:textId="77777777" w:rsidR="00084AAB" w:rsidRDefault="00084AAB" w:rsidP="000F1E49"/>
    <w:p w14:paraId="7434F313" w14:textId="5EF10F1A" w:rsidR="000F1E49" w:rsidRDefault="003E052F" w:rsidP="000F1E49">
      <w:r>
        <w:t>Figure S</w:t>
      </w:r>
      <w:r>
        <w:rPr>
          <w:noProof/>
        </w:rPr>
        <w:t>2</w:t>
      </w:r>
      <w:r w:rsidR="000F1E49">
        <w:t xml:space="preserve"> shows that the three </w:t>
      </w:r>
      <w:r w:rsidR="00084AAB">
        <w:t>different approaches</w:t>
      </w:r>
      <w:r w:rsidR="006558EB">
        <w:t xml:space="preserve"> produce similar results</w:t>
      </w:r>
      <w:r w:rsidR="00084AAB">
        <w:t xml:space="preserve"> </w:t>
      </w:r>
      <w:r w:rsidR="000F1E49">
        <w:t>(iterative average charge, average single-particle mass or system-of-equations</w:t>
      </w:r>
      <w:r w:rsidR="004203DC">
        <w:t xml:space="preserve"> approaches</w:t>
      </w:r>
      <w:r w:rsidR="000F1E49">
        <w:t>). The figure uses data from the CAPS PM</w:t>
      </w:r>
      <w:r w:rsidR="000F1E49" w:rsidRPr="000872C5">
        <w:rPr>
          <w:vertAlign w:val="subscript"/>
        </w:rPr>
        <w:t>SSA</w:t>
      </w:r>
      <w:r w:rsidR="000F1E49">
        <w:t xml:space="preserve"> monitor measuring MISG soot as an example. </w:t>
      </w:r>
    </w:p>
    <w:p w14:paraId="2E5E2234" w14:textId="77777777" w:rsidR="000F1E49" w:rsidRDefault="000F1E49" w:rsidP="000F1E49"/>
    <w:p w14:paraId="6C52F9EF" w14:textId="15CCCF39" w:rsidR="000F1E49" w:rsidRDefault="000F1E49" w:rsidP="000F1E49">
      <w:r>
        <w:t xml:space="preserve">The </w:t>
      </w:r>
      <w:r w:rsidR="00202D3F">
        <w:t>IAC</w:t>
      </w:r>
      <w:r>
        <w:t xml:space="preserve"> </w:t>
      </w:r>
      <w:r w:rsidR="004203DC">
        <w:t xml:space="preserve">approach </w:t>
      </w:r>
      <w:r>
        <w:t>agreed closely with the average</w:t>
      </w:r>
      <w:r w:rsidR="00EA1C8D">
        <w:t>-</w:t>
      </w:r>
      <w:r>
        <w:t>single-particle</w:t>
      </w:r>
      <w:r w:rsidR="00EA1C8D">
        <w:t>-</w:t>
      </w:r>
      <w:r>
        <w:t xml:space="preserve">mass </w:t>
      </w:r>
      <w:r w:rsidR="004203DC">
        <w:t xml:space="preserve">approach </w:t>
      </w:r>
      <w:r>
        <w:t xml:space="preserve">for all test points, despite its implicit assumptions that the sampled particle size distribution and the CPMA transfer function may be neglected. This unexpected agreement can be understood by reference to the more detailed calculation of </w:t>
      </w:r>
      <w:proofErr w:type="gramStart"/>
      <w:r>
        <w:t xml:space="preserve">the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and</w:t>
      </w:r>
      <w:proofErr w:type="gramEnd"/>
      <w:r>
        <w:t xml:space="preserve"> charge distribution exiting the UDAC–CPMA. The distribution of total charge as a function of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was approximately lognormal (</w:t>
      </w:r>
      <w:r w:rsidR="003E052F">
        <w:t>Figure S</w:t>
      </w:r>
      <w:r w:rsidR="003E052F">
        <w:rPr>
          <w:noProof/>
        </w:rPr>
        <w:t>1</w:t>
      </w:r>
      <w:r w:rsidR="00572AC5">
        <w:t xml:space="preserve"> and </w:t>
      </w:r>
      <w:r w:rsidR="003E052F">
        <w:t>Figure S</w:t>
      </w:r>
      <w:r w:rsidR="003E052F">
        <w:rPr>
          <w:noProof/>
        </w:rPr>
        <w:t>3</w:t>
      </w:r>
      <w:r>
        <w:t xml:space="preserve">) due to the large number of charges per particle imparted by the unipolar charger in the UDAC. Our observed agreement implies that this charge distribution played </w:t>
      </w:r>
      <w:r w:rsidR="00572AC5">
        <w:t>the</w:t>
      </w:r>
      <w:r>
        <w:t xml:space="preserve"> major role in determining the </w:t>
      </w:r>
      <w:proofErr w:type="gramStart"/>
      <w:r>
        <w:t xml:space="preserve">average </w:t>
      </w:r>
      <w:proofErr w:type="gramEnd"/>
      <m:oMath>
        <m:sSub>
          <m:sSubPr>
            <m:ctrlPr>
              <w:rPr>
                <w:rFonts w:ascii="Cambria Math" w:hAnsi="Cambria Math"/>
                <w:i/>
              </w:rPr>
            </m:ctrlPr>
          </m:sSubPr>
          <m:e>
            <m:r>
              <w:rPr>
                <w:rFonts w:ascii="Cambria Math" w:hAnsi="Cambria Math"/>
              </w:rPr>
              <m:t>m</m:t>
            </m:r>
          </m:e>
          <m:sub>
            <m:r>
              <w:rPr>
                <w:rFonts w:ascii="Cambria Math" w:hAnsi="Cambria Math"/>
              </w:rPr>
              <m:t>p</m:t>
            </m:r>
          </m:sub>
        </m:sSub>
      </m:oMath>
      <w:r>
        <w:t>, while the sampled particle size distribution and CPMA transfer function played minor roles.</w:t>
      </w:r>
      <w:r w:rsidR="00572AC5">
        <w:t xml:space="preserve"> At present, this </w:t>
      </w:r>
      <w:r w:rsidR="00572AC5">
        <w:lastRenderedPageBreak/>
        <w:t xml:space="preserve">conclusion is specific to the conditions of our study; further investigation is required to </w:t>
      </w:r>
      <w:r w:rsidR="000D10F3">
        <w:t xml:space="preserve">validate these implications and identify limitations of the </w:t>
      </w:r>
      <w:r w:rsidR="00202D3F">
        <w:t>IAC</w:t>
      </w:r>
      <w:r w:rsidR="000D10F3">
        <w:t xml:space="preserve"> </w:t>
      </w:r>
      <w:r w:rsidR="004203DC">
        <w:t>approach</w:t>
      </w:r>
      <w:r w:rsidR="000D10F3">
        <w:t>.</w:t>
      </w:r>
    </w:p>
    <w:p w14:paraId="464B25E2" w14:textId="77777777" w:rsidR="000F1E49" w:rsidRDefault="000F1E49" w:rsidP="000F1E49"/>
    <w:p w14:paraId="29E60E1F" w14:textId="2AC89C0A" w:rsidR="000F1E49" w:rsidRDefault="000F1E49" w:rsidP="000F1E49">
      <w:r>
        <w:t xml:space="preserve">Finally, the system-of-equations </w:t>
      </w:r>
      <w:r w:rsidR="004203DC">
        <w:t xml:space="preserve">approach </w:t>
      </w:r>
      <w:r>
        <w:t xml:space="preserve">showed a similar trend as the </w:t>
      </w:r>
      <w:r w:rsidR="00EA1C8D">
        <w:t>average-</w:t>
      </w:r>
      <w:r>
        <w:t>single-</w:t>
      </w:r>
      <w:r w:rsidR="00EA1C8D">
        <w:t>particle-</w:t>
      </w:r>
      <w:r>
        <w:t xml:space="preserve">mass </w:t>
      </w:r>
      <w:r w:rsidR="004203DC">
        <w:t xml:space="preserve">approach </w:t>
      </w:r>
      <w:r>
        <w:t xml:space="preserve">in </w:t>
      </w:r>
      <w:r w:rsidR="003E052F">
        <w:t>Figure S</w:t>
      </w:r>
      <w:r w:rsidR="003E052F">
        <w:rPr>
          <w:noProof/>
        </w:rPr>
        <w:t>2</w:t>
      </w:r>
      <w:r>
        <w:t xml:space="preserve">. This agreement confirms that the average-mass </w:t>
      </w:r>
      <w:r w:rsidR="004203DC">
        <w:t>approach</w:t>
      </w:r>
      <w:r>
        <w:t xml:space="preserve">, and its associated assumptions (as previously described) were valid for the data collected in this study. In the following discussion, we focus on the results produced by the average-mass </w:t>
      </w:r>
      <w:r w:rsidR="004203DC">
        <w:t xml:space="preserve">approach </w:t>
      </w:r>
      <w:r>
        <w:t xml:space="preserve">because the system-of-equations </w:t>
      </w:r>
      <w:r w:rsidR="004203DC">
        <w:t xml:space="preserve">approach </w:t>
      </w:r>
      <w:r>
        <w:t xml:space="preserve">involved grouping the data in the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dimension in order produce an over-constrained system where the system-of-equations could be fitted successfully. </w:t>
      </w:r>
    </w:p>
    <w:p w14:paraId="0A5DD8C8" w14:textId="4C6D1374" w:rsidR="00EA129A" w:rsidRPr="00EA129A" w:rsidRDefault="00EA129A" w:rsidP="005224DA">
      <w:pPr>
        <w:pStyle w:val="Newparagraph"/>
      </w:pPr>
    </w:p>
    <w:p w14:paraId="5AD92E51" w14:textId="0F368AFF" w:rsidR="00EA129A" w:rsidRDefault="00EA129A" w:rsidP="008A01F2">
      <w:pPr>
        <w:pStyle w:val="SIHeading2"/>
      </w:pPr>
      <w:bookmarkStart w:id="7" w:name="_Ref86408432"/>
      <w:r>
        <w:t xml:space="preserve">Uncertainty in iterative-average-charge </w:t>
      </w:r>
      <w:r w:rsidR="00345512">
        <w:t xml:space="preserve">(IAC) </w:t>
      </w:r>
      <w:r>
        <w:t>approach</w:t>
      </w:r>
      <w:bookmarkEnd w:id="7"/>
    </w:p>
    <w:p w14:paraId="10B46A65" w14:textId="416FEC64" w:rsidR="00573A83" w:rsidRDefault="00EA129A" w:rsidP="005224DA">
      <w:r>
        <w:t xml:space="preserve">The preceding subsection showed that the assumptions behind the </w:t>
      </w:r>
      <w:r w:rsidR="001F46A5">
        <w:t>IAC</w:t>
      </w:r>
      <w:r>
        <w:t xml:space="preserve"> approach (</w:t>
      </w:r>
      <w:r w:rsidR="003E052F">
        <w:t xml:space="preserve">Figure </w:t>
      </w:r>
      <w:r w:rsidR="003E052F">
        <w:rPr>
          <w:noProof/>
        </w:rPr>
        <w:t>2</w:t>
      </w:r>
      <w:r>
        <w:t xml:space="preserve">a) impart </w:t>
      </w:r>
      <w:r w:rsidR="00BC1C57">
        <w:t>minor</w:t>
      </w:r>
      <w:r>
        <w:t xml:space="preserve"> uncertainty to the result, compared to a complete calculation considering aerosol mass and charge distributions (</w:t>
      </w:r>
      <w:r w:rsidR="003E052F">
        <w:t>Figure S</w:t>
      </w:r>
      <w:r w:rsidR="003E052F">
        <w:rPr>
          <w:noProof/>
        </w:rPr>
        <w:t>2</w:t>
      </w:r>
      <w:r>
        <w:t xml:space="preserve">). </w:t>
      </w:r>
      <w:r w:rsidR="00573A83">
        <w:t xml:space="preserve">In this section, we discuss two types of uncertainties which remain in the approach. </w:t>
      </w:r>
    </w:p>
    <w:p w14:paraId="7C344AF8" w14:textId="77777777" w:rsidR="00573A83" w:rsidRDefault="00573A83" w:rsidP="005224DA"/>
    <w:p w14:paraId="14A8546F" w14:textId="4864A3FA" w:rsidR="00AC2E0E" w:rsidRDefault="00573A83" w:rsidP="005224DA">
      <w:r>
        <w:t>The first uncertainty is due to the propagation of uncertainties through the mass-mobility relationship (Equation </w:t>
      </w:r>
      <w:r w:rsidR="003E052F">
        <w:rPr>
          <w:noProof/>
        </w:rPr>
        <w:t>6</w:t>
      </w:r>
      <w:r>
        <w:t xml:space="preserve"> and </w:t>
      </w:r>
      <w:r w:rsidR="003E052F">
        <w:rPr>
          <w:noProof/>
        </w:rPr>
        <w:t>7</w:t>
      </w:r>
      <w:r w:rsidR="00E51C22">
        <w:t xml:space="preserve"> </w:t>
      </w:r>
      <w:r>
        <w:t xml:space="preserve">in the manuscript). We quantified this uncertainty by </w:t>
      </w:r>
      <w:r w:rsidR="00EA129A">
        <w:t>a perturbation analysis whereby the input</w:t>
      </w:r>
      <w:r>
        <w:t xml:space="preserve">s to the mass-mobility relationship were perturbed </w:t>
      </w:r>
      <w:r w:rsidR="00EA129A">
        <w:t>systematically (</w:t>
      </w:r>
      <w:r w:rsidR="003E052F">
        <w:t>Table S</w:t>
      </w:r>
      <w:r w:rsidR="003E052F">
        <w:rPr>
          <w:noProof/>
        </w:rPr>
        <w:t>3</w:t>
      </w:r>
      <w:r w:rsidR="00EA129A">
        <w:t xml:space="preserve">). Two of these, </w:t>
      </w:r>
      <m:oMath>
        <m:sSub>
          <m:sSubPr>
            <m:ctrlPr>
              <w:rPr>
                <w:rFonts w:ascii="Cambria Math" w:hAnsi="Cambria Math"/>
                <w:i/>
              </w:rPr>
            </m:ctrlPr>
          </m:sSubPr>
          <m:e>
            <m:r>
              <w:rPr>
                <w:rFonts w:ascii="Cambria Math" w:hAnsi="Cambria Math"/>
              </w:rPr>
              <m:t>ρ</m:t>
            </m:r>
          </m:e>
          <m:sub>
            <m:r>
              <m:rPr>
                <m:sty m:val="p"/>
              </m:rPr>
              <w:rPr>
                <w:rFonts w:ascii="Cambria Math" w:hAnsi="Cambria Math"/>
              </w:rPr>
              <m:t>eff,100</m:t>
            </m:r>
          </m:sub>
        </m:sSub>
      </m:oMath>
      <w:r w:rsidR="00EA129A">
        <w:t xml:space="preserve"> and </w:t>
      </w:r>
      <m:oMath>
        <m:r>
          <w:rPr>
            <w:rFonts w:ascii="Cambria Math" w:hAnsi="Cambria Math"/>
          </w:rPr>
          <m:t>ε</m:t>
        </m:r>
      </m:oMath>
      <w:r w:rsidR="00EA129A">
        <w:t xml:space="preserve"> originate in the effective density </w:t>
      </w:r>
      <w:r w:rsidR="00AC2E0E">
        <w:t xml:space="preserve">power law </w:t>
      </w:r>
      <w:r w:rsidR="00EA129A">
        <w:t>(</w:t>
      </w:r>
      <w:r w:rsidR="00AC2E0E">
        <w:t xml:space="preserve">mathematically equivalent to the </w:t>
      </w:r>
      <w:r w:rsidR="00EA129A">
        <w:t>mass-mobility relationship</w:t>
      </w:r>
      <w:r w:rsidR="00AC2E0E">
        <w:t>) while the third</w:t>
      </w:r>
      <w:proofErr w:type="gramStart"/>
      <w:r>
        <w:t xml:space="preserve">, </w:t>
      </w:r>
      <w:proofErr w:type="gramEnd"/>
      <m:oMath>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t</m:t>
        </m:r>
      </m:oMath>
      <w:r>
        <w:t>,</w:t>
      </w:r>
      <w:r w:rsidR="00AC2E0E">
        <w:t xml:space="preserve"> </w:t>
      </w:r>
      <w:r w:rsidR="00EA129A">
        <w:t xml:space="preserve">originates in the </w:t>
      </w:r>
      <w:r w:rsidR="00AC2E0E">
        <w:t xml:space="preserve">UDAC </w:t>
      </w:r>
      <w:proofErr w:type="spellStart"/>
      <w:r w:rsidR="00AC2E0E">
        <w:t>setpoint</w:t>
      </w:r>
      <w:proofErr w:type="spellEnd"/>
      <w:r w:rsidR="00AC2E0E">
        <w:t xml:space="preserve">. </w:t>
      </w:r>
      <w:r>
        <w:t xml:space="preserve">For simplicity, we omitted a perturbation of the dielectric constant because it is a multiplicative factor in predicting </w:t>
      </w:r>
      <m:oMath>
        <m:r>
          <w:rPr>
            <w:rFonts w:ascii="Cambria Math" w:hAnsi="Cambria Math"/>
          </w:rPr>
          <m:t>q</m:t>
        </m:r>
      </m:oMath>
      <w:r>
        <w:t xml:space="preserve"> </w:t>
      </w:r>
      <w:r w:rsidR="00D158BE" w:rsidRPr="00D158BE">
        <w:rPr>
          <w:noProof/>
        </w:rPr>
        <w:t>[72]</w:t>
      </w:r>
      <w:r>
        <w:t>, so would have the same effect</w:t>
      </w:r>
      <w:r w:rsidR="008A621C">
        <w:t xml:space="preserve"> as </w:t>
      </w:r>
      <w:proofErr w:type="gramStart"/>
      <w:r w:rsidR="008A621C">
        <w:t xml:space="preserve">perturbing </w:t>
      </w:r>
      <w:proofErr w:type="gramEnd"/>
      <m:oMath>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t</m:t>
        </m:r>
      </m:oMath>
      <w:r>
        <w:t xml:space="preserve">. </w:t>
      </w:r>
      <w:r w:rsidR="00AC2E0E">
        <w:t>As expected</w:t>
      </w:r>
      <w:r w:rsidR="008A621C">
        <w:t xml:space="preserve"> from an inspection of Equation </w:t>
      </w:r>
      <w:r w:rsidR="003E052F">
        <w:rPr>
          <w:noProof/>
        </w:rPr>
        <w:t>6</w:t>
      </w:r>
      <w:r w:rsidR="008A621C" w:rsidRPr="008A621C">
        <w:t xml:space="preserve"> </w:t>
      </w:r>
      <w:r w:rsidR="008A621C">
        <w:t>or</w:t>
      </w:r>
      <w:r w:rsidR="00E51C22">
        <w:t xml:space="preserve"> </w:t>
      </w:r>
      <w:r w:rsidR="003E052F">
        <w:rPr>
          <w:noProof/>
        </w:rPr>
        <w:t>7</w:t>
      </w:r>
      <w:r w:rsidR="00AC2E0E">
        <w:t xml:space="preserve">, </w:t>
      </w:r>
      <w:r w:rsidR="003E052F">
        <w:t>Table S</w:t>
      </w:r>
      <w:r w:rsidR="003E052F">
        <w:rPr>
          <w:noProof/>
        </w:rPr>
        <w:t>3</w:t>
      </w:r>
      <w:r w:rsidR="008A621C">
        <w:t xml:space="preserve"> shows that </w:t>
      </w:r>
      <w:r w:rsidR="00AC2E0E">
        <w:t xml:space="preserve">the predicted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AC2E0E">
        <w:t xml:space="preserve"> is most sensitive to the mass-mobility exponent </w:t>
      </w:r>
      <m:oMath>
        <m:r>
          <w:rPr>
            <w:rFonts w:ascii="Cambria Math" w:hAnsi="Cambria Math"/>
          </w:rPr>
          <m:t>ε</m:t>
        </m:r>
      </m:oMath>
      <w:r w:rsidR="00AC2E0E">
        <w:t xml:space="preserve">, with a </w:t>
      </w:r>
      <m:oMath>
        <m:r>
          <w:rPr>
            <w:rFonts w:ascii="Cambria Math" w:hAnsi="Cambria Math"/>
          </w:rPr>
          <m:t>± 5%</m:t>
        </m:r>
      </m:oMath>
      <w:r w:rsidR="00AC2E0E">
        <w:t xml:space="preserve"> change in </w:t>
      </w:r>
      <m:oMath>
        <m:r>
          <w:rPr>
            <w:rFonts w:ascii="Cambria Math" w:hAnsi="Cambria Math"/>
          </w:rPr>
          <m:t>ε</m:t>
        </m:r>
      </m:oMath>
      <w:r w:rsidR="00AC2E0E">
        <w:t xml:space="preserve"> leading to a </w:t>
      </w:r>
      <m:oMath>
        <m:r>
          <w:rPr>
            <w:rFonts w:ascii="Cambria Math" w:hAnsi="Cambria Math"/>
          </w:rPr>
          <m:t>+39%</m:t>
        </m:r>
      </m:oMath>
      <w:r w:rsidR="00AC2E0E">
        <w:t>/</w:t>
      </w:r>
      <m:oMath>
        <m:r>
          <w:rPr>
            <w:rFonts w:ascii="Cambria Math" w:hAnsi="Cambria Math"/>
          </w:rPr>
          <m:t>-24%</m:t>
        </m:r>
      </m:oMath>
      <w:r w:rsidR="00AC2E0E">
        <w:t xml:space="preserve"> change in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AC2E0E">
        <w:t xml:space="preserve"> at the extreme upper </w:t>
      </w:r>
      <w:r w:rsidR="00AC2E0E">
        <w:lastRenderedPageBreak/>
        <w:t xml:space="preserve">condition of </w:t>
      </w:r>
      <m:oMath>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=10</m:t>
        </m:r>
      </m:oMath>
      <w:r w:rsidR="00AC2E0E">
        <w:t> fg</w:t>
      </w:r>
      <w:r w:rsidR="008A621C">
        <w:t xml:space="preserve"> (</w:t>
      </w:r>
      <m:oMath>
        <m:sSub>
          <m:sSubPr>
            <m:ctrlPr>
              <w:rPr>
                <w:rFonts w:ascii="Cambria Math" w:hAnsi="Cambria Math"/>
                <w:i/>
              </w:rPr>
            </m:ctrlPr>
          </m:sSubPr>
          <m:e>
            <m:r>
              <w:rPr>
                <w:rFonts w:ascii="Cambria Math" w:hAnsi="Cambria Math"/>
              </w:rPr>
              <m:t>d</m:t>
            </m:r>
          </m:e>
          <m:sub>
            <m:r>
              <w:rPr>
                <w:rFonts w:ascii="Cambria Math" w:hAnsi="Cambria Math"/>
              </w:rPr>
              <m:t>m</m:t>
            </m:r>
          </m:sub>
        </m:sSub>
        <m:r>
          <w:rPr>
            <w:rFonts w:ascii="Cambria Math" w:hAnsi="Cambria Math"/>
          </w:rPr>
          <m:t>≈500</m:t>
        </m:r>
      </m:oMath>
      <w:r w:rsidR="008A621C">
        <w:t xml:space="preserve"> nm)</w:t>
      </w:r>
      <w:r w:rsidR="00AC2E0E">
        <w:t>.</w:t>
      </w:r>
      <w:r w:rsidR="008A621C">
        <w:t xml:space="preserve"> At the more moderate condition of </w:t>
      </w:r>
      <m:oMath>
        <m:sSub>
          <m:sSubPr>
            <m:ctrlPr>
              <w:rPr>
                <w:rFonts w:ascii="Cambria Math" w:hAnsi="Cambria Math"/>
                <w:i/>
              </w:rPr>
            </m:ctrlPr>
          </m:sSubPr>
          <m:e>
            <m:r>
              <w:rPr>
                <w:rFonts w:ascii="Cambria Math" w:hAnsi="Cambria Math"/>
              </w:rPr>
              <m:t>m</m:t>
            </m:r>
          </m:e>
          <m:sub>
            <m:r>
              <w:rPr>
                <w:rFonts w:ascii="Cambria Math" w:hAnsi="Cambria Math"/>
              </w:rPr>
              <m:t>p</m:t>
            </m:r>
          </m:sub>
        </m:sSub>
        <m:r>
          <w:rPr>
            <w:rFonts w:ascii="Cambria Math" w:hAnsi="Cambria Math"/>
          </w:rPr>
          <m:t>=1</m:t>
        </m:r>
      </m:oMath>
      <w:r w:rsidR="008A621C">
        <w:t xml:space="preserve"> fg, a </w:t>
      </w:r>
      <m:oMath>
        <m:r>
          <w:rPr>
            <w:rFonts w:ascii="Cambria Math" w:hAnsi="Cambria Math"/>
          </w:rPr>
          <m:t>±5%</m:t>
        </m:r>
      </m:oMath>
      <w:r w:rsidR="008A621C">
        <w:t xml:space="preserve"> change in </w:t>
      </w:r>
      <m:oMath>
        <m:r>
          <w:rPr>
            <w:rFonts w:ascii="Cambria Math" w:hAnsi="Cambria Math"/>
          </w:rPr>
          <m:t>ε</m:t>
        </m:r>
      </m:oMath>
      <w:r w:rsidR="008A621C">
        <w:t xml:space="preserve"> leads to a </w:t>
      </w:r>
      <m:oMath>
        <m:r>
          <w:rPr>
            <w:rFonts w:ascii="Cambria Math" w:hAnsi="Cambria Math"/>
          </w:rPr>
          <m:t>+18%/-13%</m:t>
        </m:r>
      </m:oMath>
      <w:r w:rsidR="00F202BC">
        <w:t xml:space="preserve"> change </w:t>
      </w:r>
      <w:proofErr w:type="gramStart"/>
      <w:r w:rsidR="00F202BC">
        <w:t xml:space="preserve">in </w:t>
      </w:r>
      <w:proofErr w:type="gramEnd"/>
      <m:oMath>
        <m:sSub>
          <m:sSubPr>
            <m:ctrlPr>
              <w:rPr>
                <w:rFonts w:ascii="Cambria Math" w:hAnsi="Cambria Math"/>
                <w:i/>
              </w:rPr>
            </m:ctrlPr>
          </m:sSubPr>
          <m:e>
            <m:r>
              <w:rPr>
                <w:rFonts w:ascii="Cambria Math" w:hAnsi="Cambria Math"/>
              </w:rPr>
              <m:t>m</m:t>
            </m:r>
          </m:e>
          <m:sub>
            <m:r>
              <w:rPr>
                <w:rFonts w:ascii="Cambria Math" w:hAnsi="Cambria Math"/>
              </w:rPr>
              <m:t>p</m:t>
            </m:r>
          </m:sub>
        </m:sSub>
      </m:oMath>
      <w:r w:rsidR="00F202BC">
        <w:t>.</w:t>
      </w:r>
      <w:r w:rsidR="008A621C">
        <w:t xml:space="preserve"> </w:t>
      </w:r>
    </w:p>
    <w:p w14:paraId="07E167F1" w14:textId="77777777" w:rsidR="00AC2E0E" w:rsidRDefault="00AC2E0E" w:rsidP="005224DA"/>
    <w:p w14:paraId="7ABF5910" w14:textId="6DACC75B" w:rsidR="00F202BC" w:rsidRDefault="008A621C" w:rsidP="004B2606">
      <w:r>
        <w:t xml:space="preserve">The second uncertainty is due to uncertainty in particle morphology. Particle morphology affects </w:t>
      </w:r>
      <w:r w:rsidR="00F202BC">
        <w:t>the mass-mobility relationship.</w:t>
      </w:r>
      <w:r w:rsidR="00025869">
        <w:t xml:space="preserve"> In the most extreme case, open DLCA aggregate structures (</w:t>
      </w:r>
      <m:oMath>
        <m:r>
          <w:rPr>
            <w:rFonts w:ascii="Cambria Math" w:hAnsi="Cambria Math"/>
          </w:rPr>
          <m:t>ε=2.48</m:t>
        </m:r>
      </m:oMath>
      <w:r w:rsidR="00025869">
        <w:t>) become quasi-spherical (</w:t>
      </w:r>
      <m:oMath>
        <m:r>
          <w:rPr>
            <w:rFonts w:ascii="Cambria Math" w:hAnsi="Cambria Math"/>
          </w:rPr>
          <m:t>ε≈3</m:t>
        </m:r>
      </m:oMath>
      <w:r w:rsidR="00025869">
        <w:t xml:space="preserve">, a </w:t>
      </w:r>
      <m:oMath>
        <m:r>
          <w:rPr>
            <w:rFonts w:ascii="Cambria Math" w:hAnsi="Cambria Math"/>
          </w:rPr>
          <m:t>+17%</m:t>
        </m:r>
      </m:oMath>
      <w:r w:rsidR="00025869">
        <w:t xml:space="preserve"> change) after the condensation of volatile materials. A correlated change in </w:t>
      </w:r>
      <w:r w:rsidR="00025869" w:rsidRPr="007E0331">
        <w:rPr>
          <w:rFonts w:ascii="Cambria Math" w:hAnsi="Cambria Math"/>
          <w:i/>
          <w:lang w:val="en-US"/>
        </w:rPr>
        <w:t>ρ</w:t>
      </w:r>
      <w:r w:rsidR="00025869" w:rsidRPr="007E0331">
        <w:rPr>
          <w:rFonts w:ascii="Cambria Math" w:hAnsi="Cambria Math"/>
          <w:vertAlign w:val="subscript"/>
          <w:lang w:val="en-US"/>
        </w:rPr>
        <w:t>eff</w:t>
      </w:r>
      <w:proofErr w:type="gramStart"/>
      <w:r w:rsidR="00025869" w:rsidRPr="007E0331">
        <w:rPr>
          <w:rFonts w:ascii="Cambria Math" w:hAnsi="Cambria Math"/>
          <w:vertAlign w:val="subscript"/>
          <w:lang w:val="en-US"/>
        </w:rPr>
        <w:t>,100</w:t>
      </w:r>
      <w:proofErr w:type="gramEnd"/>
      <w:r w:rsidR="00025869">
        <w:t xml:space="preserve"> is </w:t>
      </w:r>
      <w:r w:rsidR="004B2606">
        <w:t>expected and must be considered</w:t>
      </w:r>
      <w:r w:rsidR="00025869">
        <w:t>.</w:t>
      </w:r>
      <w:r w:rsidR="00E52362">
        <w:t xml:space="preserve"> </w:t>
      </w:r>
      <w:r w:rsidR="004B2606">
        <w:t>Considering the extreme case of highly-compact particles based on measurements made in our laboratory</w:t>
      </w:r>
      <w:r w:rsidR="00D8034D">
        <w:t xml:space="preserve"> (for which </w:t>
      </w:r>
      <m:oMath>
        <m:r>
          <w:rPr>
            <w:rFonts w:ascii="Cambria Math" w:hAnsi="Cambria Math"/>
          </w:rPr>
          <m:t>ε=2.97</m:t>
        </m:r>
      </m:oMath>
      <w:r w:rsidR="00D8034D">
        <w:t xml:space="preserve"> and </w:t>
      </w:r>
      <m:oMath>
        <m:sSub>
          <m:sSubPr>
            <m:ctrlPr>
              <w:rPr>
                <w:rFonts w:ascii="Cambria Math" w:hAnsi="Cambria Math"/>
                <w:i/>
              </w:rPr>
            </m:ctrlPr>
          </m:sSubPr>
          <m:e>
            <m:r>
              <w:rPr>
                <w:rFonts w:ascii="Cambria Math" w:hAnsi="Cambria Math"/>
              </w:rPr>
              <m:t>ρ</m:t>
            </m:r>
          </m:e>
          <m:sub>
            <m:r>
              <m:rPr>
                <m:sty m:val="p"/>
              </m:rPr>
              <w:rPr>
                <w:rFonts w:ascii="Cambria Math" w:hAnsi="Cambria Math"/>
              </w:rPr>
              <m:t>eff</m:t>
            </m:r>
            <m:r>
              <w:rPr>
                <w:rFonts w:ascii="Cambria Math" w:hAnsi="Cambria Math"/>
              </w:rPr>
              <m:t>,100</m:t>
            </m:r>
          </m:sub>
        </m:sSub>
        <m:r>
          <w:rPr>
            <w:rFonts w:ascii="Cambria Math" w:hAnsi="Cambria Math"/>
          </w:rPr>
          <m:t>=411.35</m:t>
        </m:r>
      </m:oMath>
      <w:r w:rsidR="00D8034D">
        <w:t xml:space="preserve"> according to a fit to Equation </w:t>
      </w:r>
      <w:r w:rsidR="003E052F">
        <w:rPr>
          <w:noProof/>
        </w:rPr>
        <w:t>6</w:t>
      </w:r>
      <w:r w:rsidR="00D8034D">
        <w:t xml:space="preserve">; where the value of </w:t>
      </w:r>
      <m:oMath>
        <m:r>
          <w:rPr>
            <w:rFonts w:ascii="Cambria Math" w:hAnsi="Cambria Math"/>
          </w:rPr>
          <m:t>ε</m:t>
        </m:r>
      </m:oMath>
      <w:r w:rsidR="00D8034D" w:rsidRPr="00EB629C" w:rsidDel="007B65E6">
        <w:rPr>
          <w:rFonts w:ascii="Cambria Math" w:hAnsi="Cambria Math"/>
          <w:lang w:val="en-US"/>
        </w:rPr>
        <w:t xml:space="preserve"> </w:t>
      </w:r>
      <w:r w:rsidR="00D8034D">
        <w:rPr>
          <w:rFonts w:ascii="Cambria Math" w:hAnsi="Cambria Math"/>
          <w:lang w:val="en-US"/>
        </w:rPr>
        <w:t xml:space="preserve">close to 3 indicates near </w:t>
      </w:r>
      <w:proofErr w:type="spellStart"/>
      <w:r w:rsidR="00D8034D">
        <w:rPr>
          <w:rFonts w:ascii="Cambria Math" w:hAnsi="Cambria Math"/>
          <w:lang w:val="en-US"/>
        </w:rPr>
        <w:t>sphericity</w:t>
      </w:r>
      <w:proofErr w:type="spellEnd"/>
      <w:r w:rsidR="004B2606">
        <w:rPr>
          <w:rFonts w:ascii="Cambria Math" w:hAnsi="Cambria Math"/>
          <w:lang w:val="en-US"/>
        </w:rPr>
        <w:t xml:space="preserve">), we calculated a difference in </w:t>
      </w: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p</m:t>
            </m:r>
          </m:sub>
        </m:sSub>
      </m:oMath>
      <w:r w:rsidR="004B2606">
        <w:rPr>
          <w:rFonts w:ascii="Cambria Math" w:hAnsi="Cambria Math"/>
          <w:lang w:val="en-US"/>
        </w:rPr>
        <w:t xml:space="preserve"> of 11% and 39% at </w:t>
      </w:r>
      <m:oMath>
        <m:r>
          <w:rPr>
            <w:rFonts w:ascii="Cambria Math" w:hAnsi="Cambria Math"/>
            <w:lang w:val="en-US"/>
          </w:rPr>
          <m:t>110</m:t>
        </m:r>
      </m:oMath>
      <w:r w:rsidR="004B2606">
        <w:rPr>
          <w:rFonts w:ascii="Cambria Math" w:hAnsi="Cambria Math"/>
          <w:lang w:val="en-US"/>
        </w:rPr>
        <w:t xml:space="preserve"> nm and 240 nm respectively. In other words, when soot particles are assumed to be DLCA aggregates, their true mass may be 39% higher at 240 nm than predicted. This corresponds to a shift by a factor of 1.39 on the abscissas of </w:t>
      </w:r>
      <w:r w:rsidR="003E052F">
        <w:t xml:space="preserve">Figure </w:t>
      </w:r>
      <w:r w:rsidR="003E052F">
        <w:rPr>
          <w:noProof/>
        </w:rPr>
        <w:t>3</w:t>
      </w:r>
      <w:r w:rsidR="004B2606">
        <w:rPr>
          <w:rFonts w:ascii="Cambria Math" w:hAnsi="Cambria Math"/>
          <w:lang w:val="en-US"/>
        </w:rPr>
        <w:t xml:space="preserve">, </w:t>
      </w:r>
      <w:r w:rsidR="003E052F">
        <w:t xml:space="preserve">Figure </w:t>
      </w:r>
      <w:r w:rsidR="003E052F">
        <w:rPr>
          <w:noProof/>
        </w:rPr>
        <w:t>4</w:t>
      </w:r>
      <w:r w:rsidR="004B2606">
        <w:rPr>
          <w:rFonts w:ascii="Cambria Math" w:hAnsi="Cambria Math"/>
          <w:lang w:val="en-US"/>
        </w:rPr>
        <w:t xml:space="preserve">, and </w:t>
      </w:r>
      <w:r w:rsidR="003E052F">
        <w:t xml:space="preserve">Figure </w:t>
      </w:r>
      <w:r w:rsidR="003E052F">
        <w:rPr>
          <w:noProof/>
        </w:rPr>
        <w:t>5</w:t>
      </w:r>
      <w:r w:rsidR="004B2606">
        <w:rPr>
          <w:rFonts w:ascii="Cambria Math" w:hAnsi="Cambria Math"/>
          <w:lang w:val="en-US"/>
        </w:rPr>
        <w:t xml:space="preserve">, </w:t>
      </w:r>
      <w:r w:rsidR="004B2606">
        <w:t>which is negligible considering the two orders of magnitude spanned by those axes.</w:t>
      </w:r>
    </w:p>
    <w:p w14:paraId="616352C1" w14:textId="77777777" w:rsidR="00F202BC" w:rsidRDefault="00F202BC" w:rsidP="005224DA"/>
    <w:p w14:paraId="53602279" w14:textId="7B7DAC02" w:rsidR="008A621C" w:rsidRDefault="00F202BC" w:rsidP="005224DA">
      <w:r>
        <w:t xml:space="preserve">Morphology also affects </w:t>
      </w:r>
      <w:r w:rsidR="00FA0FCB">
        <w:t xml:space="preserve">particle </w:t>
      </w:r>
      <w:r w:rsidR="008A621C">
        <w:t xml:space="preserve">charging. For particles of </w:t>
      </w:r>
      <m:oMath>
        <m:sSub>
          <m:sSubPr>
            <m:ctrlPr>
              <w:rPr>
                <w:rFonts w:ascii="Cambria Math" w:hAnsi="Cambria Math"/>
                <w:i/>
              </w:rPr>
            </m:ctrlPr>
          </m:sSubPr>
          <m:e>
            <m:r>
              <w:rPr>
                <w:rFonts w:ascii="Cambria Math" w:hAnsi="Cambria Math"/>
              </w:rPr>
              <m:t>d</m:t>
            </m:r>
          </m:e>
          <m:sub>
            <m:r>
              <w:rPr>
                <w:rFonts w:ascii="Cambria Math" w:hAnsi="Cambria Math"/>
              </w:rPr>
              <m:t>m</m:t>
            </m:r>
          </m:sub>
        </m:sSub>
        <m:r>
          <w:rPr>
            <w:rFonts w:ascii="Cambria Math" w:hAnsi="Cambria Math"/>
          </w:rPr>
          <m:t>=</m:t>
        </m:r>
      </m:oMath>
      <w:r w:rsidR="008A621C">
        <w:t xml:space="preserve"> 100 nm, agglomerates </w:t>
      </w:r>
      <w:r w:rsidR="00FA0FCB">
        <w:t xml:space="preserve">charged by unipolar diffusion chargers </w:t>
      </w:r>
      <w:r w:rsidR="008A621C">
        <w:t xml:space="preserve">have </w:t>
      </w:r>
      <m:oMath>
        <m:r>
          <w:rPr>
            <w:rFonts w:ascii="Cambria Math" w:hAnsi="Cambria Math"/>
          </w:rPr>
          <m:t>&lt;20%</m:t>
        </m:r>
      </m:oMath>
      <w:r w:rsidR="008A621C">
        <w:t xml:space="preserve"> more charge-per-particle than spheres </w:t>
      </w:r>
      <w:r w:rsidR="00FA0FCB">
        <w:t xml:space="preserve">of the same </w:t>
      </w:r>
      <m:oMath>
        <m:sSub>
          <m:sSubPr>
            <m:ctrlPr>
              <w:rPr>
                <w:rFonts w:ascii="Cambria Math" w:hAnsi="Cambria Math"/>
                <w:i/>
              </w:rPr>
            </m:ctrlPr>
          </m:sSubPr>
          <m:e>
            <m:r>
              <w:rPr>
                <w:rFonts w:ascii="Cambria Math" w:hAnsi="Cambria Math"/>
              </w:rPr>
              <m:t>d</m:t>
            </m:r>
          </m:e>
          <m:sub>
            <m:r>
              <m:rPr>
                <m:sty m:val="p"/>
              </m:rPr>
              <w:rPr>
                <w:rFonts w:ascii="Cambria Math" w:hAnsi="Cambria Math"/>
              </w:rPr>
              <m:t>m</m:t>
            </m:r>
          </m:sub>
        </m:sSub>
      </m:oMath>
      <w:r w:rsidR="00FA0FCB">
        <w:t xml:space="preserve"> </w:t>
      </w:r>
      <w:r w:rsidR="00D158BE" w:rsidRPr="00D158BE">
        <w:rPr>
          <w:noProof/>
        </w:rPr>
        <w:t>[59,72]</w:t>
      </w:r>
      <w:r w:rsidR="008A621C">
        <w:t xml:space="preserve">. </w:t>
      </w:r>
      <w:r w:rsidR="001F6FD7">
        <w:t xml:space="preserve">A more </w:t>
      </w:r>
      <w:r>
        <w:t>precise quantification of this charging uncertainty is difficult due to the complexity of charging models</w:t>
      </w:r>
      <w:r w:rsidR="001F6FD7">
        <w:t>, as well as</w:t>
      </w:r>
      <w:r>
        <w:t xml:space="preserve"> the difficulty of obtaining reliable reference data </w:t>
      </w:r>
      <w:r w:rsidR="00D158BE" w:rsidRPr="00D158BE">
        <w:rPr>
          <w:noProof/>
        </w:rPr>
        <w:t>[73]</w:t>
      </w:r>
      <w:r>
        <w:t xml:space="preserve">. </w:t>
      </w:r>
      <w:r w:rsidR="001F6FD7">
        <w:t>Regardless, this charging uncertainty is smaller than the morphology-related uncertainty in the mass-mobility relationship.</w:t>
      </w:r>
    </w:p>
    <w:p w14:paraId="161825BD" w14:textId="77777777" w:rsidR="00AC2E0E" w:rsidRDefault="00AC2E0E" w:rsidP="005224DA"/>
    <w:p w14:paraId="73C9143F" w14:textId="4099C0C7" w:rsidR="000B00D3" w:rsidRDefault="00EA129A" w:rsidP="008A01F2">
      <w:pPr>
        <w:pStyle w:val="SIHeading2"/>
      </w:pPr>
      <w:r>
        <w:t>F</w:t>
      </w:r>
      <w:r w:rsidR="00AB5E09">
        <w:t>it function</w:t>
      </w:r>
      <w:r w:rsidR="00D57974">
        <w:t xml:space="preserve"> applied </w:t>
      </w:r>
      <w:r w:rsidR="00572AC5">
        <w:t>to size-dependent MAC</w:t>
      </w:r>
      <w:r w:rsidR="000B00D3">
        <w:t>s</w:t>
      </w:r>
    </w:p>
    <w:p w14:paraId="055E3964" w14:textId="160B5F44" w:rsidR="000B00D3" w:rsidRPr="00F61493" w:rsidRDefault="000B00D3" w:rsidP="000B00D3">
      <w:pPr>
        <w:pStyle w:val="Paragraph"/>
      </w:pPr>
      <w:r>
        <w:t xml:space="preserve">In </w:t>
      </w:r>
      <w:r w:rsidR="003E052F">
        <w:t xml:space="preserve">Figure </w:t>
      </w:r>
      <w:r w:rsidR="003E052F">
        <w:rPr>
          <w:noProof/>
        </w:rPr>
        <w:t>4</w:t>
      </w:r>
      <w:r>
        <w:t xml:space="preserve"> and </w:t>
      </w:r>
      <w:r w:rsidR="003E052F">
        <w:t xml:space="preserve">Figure </w:t>
      </w:r>
      <w:r w:rsidR="003E052F">
        <w:rPr>
          <w:noProof/>
        </w:rPr>
        <w:t>5</w:t>
      </w:r>
      <w:r>
        <w:t xml:space="preserve">, we used the error function to describe our MAC observations, with lower limit </w:t>
      </w:r>
      <w:r>
        <w:rPr>
          <w:i/>
        </w:rPr>
        <w:t xml:space="preserve">a, </w:t>
      </w:r>
      <w:r>
        <w:t xml:space="preserve">upper limit </w:t>
      </w:r>
      <w:r w:rsidRPr="00077930">
        <w:rPr>
          <w:i/>
        </w:rPr>
        <w:t>b</w:t>
      </w:r>
      <w:r>
        <w:t>, and abscissa-</w:t>
      </w:r>
      <w:r w:rsidRPr="00077930">
        <w:t>offset</w:t>
      </w:r>
      <w:r>
        <w:t xml:space="preserve"> and scaling parameters </w:t>
      </w:r>
      <w:r>
        <w:rPr>
          <w:i/>
        </w:rPr>
        <w:t>c</w:t>
      </w:r>
      <w:r>
        <w:t xml:space="preserve"> and </w:t>
      </w:r>
      <w:r>
        <w:rPr>
          <w:i/>
        </w:rPr>
        <w:t>d</w:t>
      </w:r>
      <w:r>
        <w:t>:</w:t>
      </w:r>
      <w:r w:rsidRPr="00AB5E09">
        <w:t xml:space="preserve"> </w:t>
      </w:r>
    </w:p>
    <w:tbl>
      <w:tblPr>
        <w:tblStyle w:val="TableGrid"/>
        <w:tblW w:w="0" w:type="auto"/>
        <w:jc w:val="center"/>
        <w:tblLook w:val="04A0" w:firstRow="1" w:lastRow="0" w:firstColumn="1" w:lastColumn="0" w:noHBand="0" w:noVBand="1"/>
      </w:tblPr>
      <w:tblGrid>
        <w:gridCol w:w="704"/>
        <w:gridCol w:w="6946"/>
        <w:gridCol w:w="839"/>
      </w:tblGrid>
      <w:tr w:rsidR="000B00D3" w14:paraId="201EAD65" w14:textId="77777777" w:rsidTr="008D5B70">
        <w:trPr>
          <w:jc w:val="center"/>
        </w:trPr>
        <w:tc>
          <w:tcPr>
            <w:tcW w:w="704" w:type="dxa"/>
            <w:tcBorders>
              <w:top w:val="nil"/>
              <w:left w:val="nil"/>
              <w:bottom w:val="nil"/>
              <w:right w:val="nil"/>
            </w:tcBorders>
          </w:tcPr>
          <w:p w14:paraId="0ACC743E" w14:textId="77777777" w:rsidR="000B00D3" w:rsidRDefault="000B00D3" w:rsidP="00D76611">
            <w:pPr>
              <w:pStyle w:val="Newparagraph"/>
              <w:ind w:firstLine="0"/>
              <w:jc w:val="center"/>
            </w:pPr>
          </w:p>
        </w:tc>
        <w:tc>
          <w:tcPr>
            <w:tcW w:w="6946" w:type="dxa"/>
            <w:tcBorders>
              <w:top w:val="nil"/>
              <w:left w:val="nil"/>
              <w:bottom w:val="nil"/>
              <w:right w:val="nil"/>
            </w:tcBorders>
          </w:tcPr>
          <w:p w14:paraId="609429DD" w14:textId="77777777" w:rsidR="000B00D3" w:rsidRDefault="000B00D3" w:rsidP="00D76611">
            <w:pPr>
              <w:pStyle w:val="Newparagraph"/>
              <w:ind w:firstLine="0"/>
              <w:jc w:val="center"/>
            </w:pPr>
            <m:oMathPara>
              <m:oMath>
                <m:r>
                  <m:rPr>
                    <m:sty m:val="p"/>
                  </m:rPr>
                  <w:rPr>
                    <w:rFonts w:ascii="Cambria Math" w:hAnsi="Cambria Math"/>
                  </w:rPr>
                  <m:t>MAC</m:t>
                </m:r>
                <m:r>
                  <w:rPr>
                    <w:rFonts w:ascii="Cambria Math" w:hAnsi="Cambria Math"/>
                  </w:rPr>
                  <m:t>=a+</m:t>
                </m:r>
                <m:d>
                  <m:dPr>
                    <m:ctrlPr>
                      <w:rPr>
                        <w:rFonts w:ascii="Cambria Math" w:hAnsi="Cambria Math"/>
                        <w:i/>
                      </w:rPr>
                    </m:ctrlPr>
                  </m:dPr>
                  <m:e>
                    <m:r>
                      <w:rPr>
                        <w:rFonts w:ascii="Cambria Math" w:hAnsi="Cambria Math"/>
                      </w:rPr>
                      <m:t>b-a</m:t>
                    </m:r>
                  </m:e>
                </m:d>
                <m:d>
                  <m:dPr>
                    <m:begChr m:val="["/>
                    <m:endChr m:val="]"/>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func>
                      <m:funcPr>
                        <m:ctrlPr>
                          <w:rPr>
                            <w:rFonts w:ascii="Cambria Math" w:hAnsi="Cambria Math"/>
                            <w:i/>
                          </w:rPr>
                        </m:ctrlPr>
                      </m:funcPr>
                      <m:fName>
                        <m:r>
                          <m:rPr>
                            <m:sty m:val="p"/>
                          </m:rPr>
                          <w:rPr>
                            <w:rFonts w:ascii="Cambria Math" w:hAnsi="Cambria Math"/>
                          </w:rPr>
                          <m:t>erf</m:t>
                        </m:r>
                      </m:fName>
                      <m:e>
                        <m:d>
                          <m:dPr>
                            <m:ctrlPr>
                              <w:rPr>
                                <w:rFonts w:ascii="Cambria Math" w:hAnsi="Cambria Math"/>
                                <w:i/>
                              </w:rPr>
                            </m:ctrlPr>
                          </m:dPr>
                          <m:e>
                            <m:r>
                              <w:rPr>
                                <w:rFonts w:ascii="Cambria Math" w:hAnsi="Cambria Math"/>
                              </w:rPr>
                              <m:t>c</m:t>
                            </m:r>
                            <m:func>
                              <m:funcPr>
                                <m:ctrlPr>
                                  <w:rPr>
                                    <w:rFonts w:ascii="Cambria Math" w:hAnsi="Cambria Math"/>
                                    <w:i/>
                                  </w:rPr>
                                </m:ctrlPr>
                              </m:funcPr>
                              <m:fName>
                                <m:r>
                                  <m:rPr>
                                    <m:sty m:val="p"/>
                                  </m:rPr>
                                  <w:rPr>
                                    <w:rFonts w:ascii="Cambria Math" w:hAnsi="Cambria Math"/>
                                  </w:rPr>
                                  <m:t>log</m:t>
                                </m:r>
                              </m:fName>
                              <m:e>
                                <m:sSub>
                                  <m:sSubPr>
                                    <m:ctrlPr>
                                      <w:rPr>
                                        <w:rFonts w:ascii="Cambria Math" w:hAnsi="Cambria Math"/>
                                        <w:i/>
                                      </w:rPr>
                                    </m:ctrlPr>
                                  </m:sSubPr>
                                  <m:e>
                                    <m:r>
                                      <w:rPr>
                                        <w:rFonts w:ascii="Cambria Math" w:hAnsi="Cambria Math"/>
                                      </w:rPr>
                                      <m:t>m</m:t>
                                    </m:r>
                                  </m:e>
                                  <m:sub>
                                    <m:r>
                                      <w:rPr>
                                        <w:rFonts w:ascii="Cambria Math" w:hAnsi="Cambria Math"/>
                                      </w:rPr>
                                      <m:t>p</m:t>
                                    </m:r>
                                  </m:sub>
                                </m:sSub>
                              </m:e>
                            </m:func>
                            <m:r>
                              <w:rPr>
                                <w:rFonts w:ascii="Cambria Math" w:hAnsi="Cambria Math"/>
                              </w:rPr>
                              <m:t>-d</m:t>
                            </m:r>
                          </m:e>
                        </m:d>
                      </m:e>
                    </m:func>
                  </m:e>
                </m:d>
              </m:oMath>
            </m:oMathPara>
          </w:p>
        </w:tc>
        <w:tc>
          <w:tcPr>
            <w:tcW w:w="839" w:type="dxa"/>
            <w:tcBorders>
              <w:top w:val="nil"/>
              <w:left w:val="nil"/>
              <w:bottom w:val="nil"/>
              <w:right w:val="nil"/>
            </w:tcBorders>
            <w:vAlign w:val="center"/>
          </w:tcPr>
          <w:p w14:paraId="2F16FE18" w14:textId="4148E88E" w:rsidR="000B00D3" w:rsidRDefault="000B00D3" w:rsidP="008D5B70">
            <w:pPr>
              <w:pStyle w:val="Newparagraph"/>
              <w:ind w:firstLine="0"/>
              <w:jc w:val="center"/>
            </w:pPr>
            <w:bookmarkStart w:id="8" w:name="_Ref70442876"/>
            <w:r>
              <w:rPr>
                <w:noProof/>
              </w:rPr>
              <w:t>S</w:t>
            </w:r>
            <w:bookmarkStart w:id="9" w:name="_Ref70078308"/>
            <w:r w:rsidR="003E052F">
              <w:rPr>
                <w:noProof/>
              </w:rPr>
              <w:t>6</w:t>
            </w:r>
            <w:bookmarkEnd w:id="8"/>
            <w:bookmarkEnd w:id="9"/>
          </w:p>
        </w:tc>
      </w:tr>
    </w:tbl>
    <w:p w14:paraId="53EECAE4" w14:textId="77777777" w:rsidR="000B00D3" w:rsidRDefault="000B00D3" w:rsidP="000B00D3"/>
    <w:p w14:paraId="0AEA6672" w14:textId="3F21577E" w:rsidR="000B00D3" w:rsidRDefault="00176960" w:rsidP="000B00D3">
      <w:r>
        <w:t xml:space="preserve">We hypothesize </w:t>
      </w:r>
      <w:r w:rsidR="000B00D3">
        <w:t xml:space="preserve">that </w:t>
      </w:r>
      <m:oMath>
        <m:r>
          <w:rPr>
            <w:rFonts w:ascii="Cambria Math" w:hAnsi="Cambria Math"/>
          </w:rPr>
          <m:t>a≈4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g</m:t>
            </m:r>
          </m:e>
          <m:sup>
            <m:r>
              <m:rPr>
                <m:sty m:val="p"/>
              </m:rPr>
              <w:rPr>
                <w:rFonts w:ascii="Cambria Math" w:hAnsi="Cambria Math"/>
              </w:rPr>
              <m:t>-1</m:t>
            </m:r>
          </m:sup>
        </m:sSup>
      </m:oMath>
      <w:r w:rsidR="000B00D3">
        <w:t xml:space="preserve"> (the MAC of incipient soot particles described by Wan et al. </w:t>
      </w:r>
      <w:r w:rsidR="00F900DB" w:rsidRPr="00F900DB">
        <w:rPr>
          <w:noProof/>
          <w:lang w:val="en-CA"/>
        </w:rPr>
        <w:t>[36]</w:t>
      </w:r>
      <w:r w:rsidR="000B00D3">
        <w:t xml:space="preserve">), </w:t>
      </w:r>
      <m:oMath>
        <m:r>
          <w:rPr>
            <w:rFonts w:ascii="Cambria Math" w:hAnsi="Cambria Math"/>
          </w:rPr>
          <m:t>b≈8±0.7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g</m:t>
            </m:r>
          </m:e>
          <m:sup>
            <m:r>
              <m:rPr>
                <m:sty m:val="p"/>
              </m:rPr>
              <w:rPr>
                <w:rFonts w:ascii="Cambria Math" w:hAnsi="Cambria Math"/>
              </w:rPr>
              <m:t>-1</m:t>
            </m:r>
          </m:sup>
        </m:sSup>
      </m:oMath>
      <w:r w:rsidR="000B00D3">
        <w:t xml:space="preserve"> (the MAC of mature soot reviewed by Liu et al. </w:t>
      </w:r>
      <w:r w:rsidR="00F900DB" w:rsidRPr="00F900DB">
        <w:rPr>
          <w:noProof/>
        </w:rPr>
        <w:t>[16]</w:t>
      </w:r>
      <w:r w:rsidR="000B00D3">
        <w:t xml:space="preserve">) and that </w:t>
      </w:r>
      <m:oMath>
        <m:r>
          <w:rPr>
            <w:rFonts w:ascii="Cambria Math" w:hAnsi="Cambria Math"/>
          </w:rPr>
          <m:t>c</m:t>
        </m:r>
      </m:oMath>
      <w:r w:rsidR="000B00D3">
        <w:t xml:space="preserve"> and </w:t>
      </w:r>
      <m:oMath>
        <m:r>
          <w:rPr>
            <w:rFonts w:ascii="Cambria Math" w:hAnsi="Cambria Math"/>
          </w:rPr>
          <m:t>d</m:t>
        </m:r>
      </m:oMath>
      <w:r w:rsidR="000B00D3">
        <w:t xml:space="preserve"> vary slightly according to the discussion in the main text. However, the available data did not allow this </w:t>
      </w:r>
      <w:r>
        <w:t xml:space="preserve">hypothesis </w:t>
      </w:r>
      <w:r w:rsidR="000B00D3">
        <w:t>to be rigorously tested</w:t>
      </w:r>
      <w:r w:rsidR="006207F5">
        <w:t xml:space="preserve"> and all reported fits were performed without constraint</w:t>
      </w:r>
      <w:r w:rsidR="000B00D3">
        <w:t>.</w:t>
      </w:r>
    </w:p>
    <w:p w14:paraId="578B613A" w14:textId="1B0F907D" w:rsidR="00AB5E09" w:rsidRDefault="00F26F99" w:rsidP="008A01F2">
      <w:pPr>
        <w:pStyle w:val="SIHeading2"/>
      </w:pPr>
      <w:bookmarkStart w:id="10" w:name="_Ref73538357"/>
      <w:r>
        <w:t>Single-scattering albedo</w:t>
      </w:r>
      <w:r w:rsidR="00572AC5">
        <w:t xml:space="preserve"> </w:t>
      </w:r>
      <w:r>
        <w:t>(SSA)</w:t>
      </w:r>
      <w:bookmarkEnd w:id="10"/>
    </w:p>
    <w:p w14:paraId="32B210A8" w14:textId="77777777" w:rsidR="000B00D3" w:rsidRDefault="000B00D3" w:rsidP="00AB5E09"/>
    <w:p w14:paraId="123D4485" w14:textId="15FFB7D0" w:rsidR="00F26F99" w:rsidRDefault="00F26F99" w:rsidP="00AB5E09">
      <w:r>
        <w:t>Our CAPS PM</w:t>
      </w:r>
      <w:r w:rsidRPr="00F26F99">
        <w:rPr>
          <w:vertAlign w:val="subscript"/>
        </w:rPr>
        <w:t>SSA</w:t>
      </w:r>
      <w:r>
        <w:t xml:space="preserve"> measurements provide single-scattering albedos (SSAs)</w:t>
      </w:r>
      <w:r w:rsidR="00BB7832">
        <w:t xml:space="preserve"> at 660 nm</w:t>
      </w:r>
      <w:r>
        <w:t xml:space="preserve"> for each size-resolved MAC test point. </w:t>
      </w:r>
      <w:r w:rsidR="003E052F">
        <w:t>Figure S</w:t>
      </w:r>
      <w:r w:rsidR="003E052F">
        <w:rPr>
          <w:noProof/>
        </w:rPr>
        <w:t>8</w:t>
      </w:r>
      <w:r>
        <w:t xml:space="preserve"> and </w:t>
      </w:r>
      <w:r w:rsidR="003E052F">
        <w:t>Figure S</w:t>
      </w:r>
      <w:r w:rsidR="003E052F">
        <w:rPr>
          <w:noProof/>
        </w:rPr>
        <w:t>9</w:t>
      </w:r>
      <w:r>
        <w:t xml:space="preserve"> show these SSAs plotted as a function of average single-particle mass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and as a function of MAC, respectively. In </w:t>
      </w:r>
      <w:r w:rsidR="003E052F">
        <w:t>Figure S</w:t>
      </w:r>
      <w:r w:rsidR="003E052F">
        <w:rPr>
          <w:noProof/>
        </w:rPr>
        <w:t>8</w:t>
      </w:r>
      <w:r>
        <w:t xml:space="preserve">, the SSA generally increases slightly from 0.12 to 0.22 as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increases </w:t>
      </w:r>
      <w:r w:rsidR="00A9738C" w:rsidRPr="00A9738C">
        <w:t>from 0.3 </w:t>
      </w:r>
      <w:proofErr w:type="spellStart"/>
      <w:proofErr w:type="gramStart"/>
      <w:r w:rsidR="00A9738C" w:rsidRPr="00A9738C">
        <w:t>fg</w:t>
      </w:r>
      <w:proofErr w:type="spellEnd"/>
      <w:proofErr w:type="gramEnd"/>
      <w:r w:rsidR="00A9738C" w:rsidRPr="00A9738C">
        <w:t xml:space="preserve"> to 10 </w:t>
      </w:r>
      <w:proofErr w:type="spellStart"/>
      <w:r w:rsidR="00A9738C" w:rsidRPr="00A9738C">
        <w:t>fg</w:t>
      </w:r>
      <w:proofErr w:type="spellEnd"/>
      <w:r w:rsidR="00A9738C" w:rsidRPr="00A9738C">
        <w:t xml:space="preserve">. </w:t>
      </w:r>
      <w:r w:rsidR="00AA3283">
        <w:t xml:space="preserve">The SSA trend is not clearly sigmoidal as was the case for MAC, </w:t>
      </w:r>
      <w:r w:rsidR="0029664F">
        <w:t>potentially</w:t>
      </w:r>
      <w:r w:rsidR="00C27610">
        <w:t xml:space="preserve"> because the SSA is influenced more strongly by morphology than the MAC </w:t>
      </w:r>
      <w:r w:rsidR="00F900DB" w:rsidRPr="00F900DB">
        <w:rPr>
          <w:noProof/>
        </w:rPr>
        <w:t>[18,20]</w:t>
      </w:r>
      <w:r w:rsidR="00C27610">
        <w:t xml:space="preserve">. </w:t>
      </w:r>
      <w:r w:rsidR="00AA3283">
        <w:t>Also, the SSA</w:t>
      </w:r>
      <w:r>
        <w:t xml:space="preserve"> trend shows less </w:t>
      </w:r>
      <w:r w:rsidR="00F323D9">
        <w:t xml:space="preserve">source-to-source </w:t>
      </w:r>
      <w:r>
        <w:t>variability</w:t>
      </w:r>
      <w:r w:rsidR="00F323D9">
        <w:t xml:space="preserve"> </w:t>
      </w:r>
      <w:r>
        <w:t xml:space="preserve">than the corresponding trend of MAC versus </w:t>
      </w:r>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w:t>
      </w:r>
      <w:r w:rsidR="00F323D9">
        <w:t xml:space="preserve">(as </w:t>
      </w:r>
      <w:r>
        <w:t>discussed in the main text</w:t>
      </w:r>
      <w:r w:rsidR="00F323D9">
        <w:t>)</w:t>
      </w:r>
      <w:r>
        <w:t xml:space="preserve">, potentially because the SSA trend reflects increasing particle size parameter </w:t>
      </w:r>
      <m:oMath>
        <m:r>
          <w:rPr>
            <w:rFonts w:ascii="Cambria Math" w:hAnsi="Cambria Math"/>
          </w:rPr>
          <m:t>x</m:t>
        </m:r>
      </m:oMath>
      <w:r>
        <w:t xml:space="preserve"> rather than a changing MAC</w:t>
      </w:r>
      <w:r w:rsidR="001D5BDC">
        <w:t xml:space="preserve"> </w:t>
      </w:r>
      <w:r w:rsidR="00F900DB" w:rsidRPr="00F900DB">
        <w:rPr>
          <w:noProof/>
        </w:rPr>
        <w:t>[17]</w:t>
      </w:r>
      <w:r>
        <w:t>. Notably, the trend for the Argonaut MISG and the diesel engine soot indicate higher SSAs for larger particles than the other sources. This may reflect more-compact soot particles being emitted from these sources</w:t>
      </w:r>
      <w:r w:rsidR="00BB7832">
        <w:t xml:space="preserve"> relative to the others</w:t>
      </w:r>
      <w:r>
        <w:t xml:space="preserve">. </w:t>
      </w:r>
    </w:p>
    <w:p w14:paraId="239803E1" w14:textId="77777777" w:rsidR="000F1E49" w:rsidRDefault="000F1E49" w:rsidP="000F1E49">
      <w:pPr>
        <w:pStyle w:val="Newparagraph"/>
        <w:ind w:firstLine="0"/>
      </w:pPr>
    </w:p>
    <w:p w14:paraId="07753AEC" w14:textId="7236858B" w:rsidR="00BB7832" w:rsidRDefault="00BB7832" w:rsidP="000F1E49">
      <w:pPr>
        <w:pStyle w:val="Newparagraph"/>
        <w:ind w:firstLine="0"/>
      </w:pPr>
      <w:r>
        <w:t xml:space="preserve">In </w:t>
      </w:r>
      <w:r w:rsidR="003E052F">
        <w:t>Figure S</w:t>
      </w:r>
      <w:r w:rsidR="003E052F">
        <w:rPr>
          <w:noProof/>
        </w:rPr>
        <w:t>9</w:t>
      </w:r>
      <w:r>
        <w:t xml:space="preserve">, the 660 nm SSA is plotted against the MAC reported in the manuscript. No clear trend is seen in the data. The SSA was more strongly associated with particle size than with the measured MAC. </w:t>
      </w:r>
    </w:p>
    <w:p w14:paraId="7F6B5CAC" w14:textId="77777777" w:rsidR="000F1E49" w:rsidRDefault="000F1E49" w:rsidP="000F1E49">
      <w:pPr>
        <w:pStyle w:val="Newparagraph"/>
        <w:ind w:firstLine="0"/>
      </w:pPr>
    </w:p>
    <w:p w14:paraId="049F2EA0" w14:textId="77A7096B" w:rsidR="00245812" w:rsidRDefault="00245812" w:rsidP="002B3D8B">
      <w:pPr>
        <w:pStyle w:val="SIHeading1"/>
        <w:jc w:val="left"/>
      </w:pPr>
      <w:r>
        <w:lastRenderedPageBreak/>
        <w:t>Supplementary References</w:t>
      </w:r>
    </w:p>
    <w:p w14:paraId="713DC079" w14:textId="77777777" w:rsidR="0086581C" w:rsidRDefault="0086581C" w:rsidP="00245812">
      <w:pPr>
        <w:rPr>
          <w:noProof/>
        </w:rPr>
      </w:pPr>
    </w:p>
    <w:p w14:paraId="62052EA9" w14:textId="439C598C" w:rsidR="0086581C" w:rsidRDefault="002B3D8B" w:rsidP="00245812">
      <w:pPr>
        <w:rPr>
          <w:noProof/>
        </w:rPr>
      </w:pPr>
      <w:r>
        <w:rPr>
          <w:noProof/>
        </w:rPr>
        <w:t xml:space="preserve">[71] </w:t>
      </w:r>
      <w:r w:rsidR="0086581C" w:rsidRPr="0086581C">
        <w:rPr>
          <w:noProof/>
        </w:rPr>
        <w:t>F.-X. Ouf, P. Sillon, Charging Efficiency of the Electrical Low Pressure Impactor’s Corona Charger: Influence of the Fractal Morphology of Nanoparticle Aggregates and Uncertainty Analysis of Experimental Results, Aerosol Sci. Technol. 43 (2009) 685–698. https://doi.org/10.1080/02786820902878245.</w:t>
      </w:r>
    </w:p>
    <w:p w14:paraId="3C79FE92" w14:textId="77777777" w:rsidR="0086581C" w:rsidRDefault="0086581C" w:rsidP="00245812"/>
    <w:p w14:paraId="7F39C30A" w14:textId="6A5A688B" w:rsidR="0086581C" w:rsidRDefault="002B3D8B" w:rsidP="00245812">
      <w:pPr>
        <w:rPr>
          <w:noProof/>
        </w:rPr>
      </w:pPr>
      <w:r>
        <w:rPr>
          <w:noProof/>
        </w:rPr>
        <w:t xml:space="preserve">[72] </w:t>
      </w:r>
      <w:r w:rsidR="0086581C" w:rsidRPr="009E6521">
        <w:rPr>
          <w:noProof/>
        </w:rPr>
        <w:t>M.D. Wilson, D.M. Rocke, B. Durbin, H.D. Kahn, Detection limits and goodness-of-fit measures for the two-component model of chemical analytical error, Anal. Chim. Acta. 509 (2004) 197–208. https://doi.org/10.1016/j.aca.2003.12.047.</w:t>
      </w:r>
    </w:p>
    <w:p w14:paraId="3A54064A" w14:textId="77777777" w:rsidR="0086581C" w:rsidRDefault="0086581C" w:rsidP="00245812"/>
    <w:p w14:paraId="168D12BE" w14:textId="3BDDB517" w:rsidR="0086581C" w:rsidRDefault="002B3D8B" w:rsidP="00245812">
      <w:r>
        <w:t xml:space="preserve">[73] </w:t>
      </w:r>
      <w:r w:rsidR="0086581C" w:rsidRPr="0086581C">
        <w:t xml:space="preserve">L.N.Y. Cao, J. Wang, H. </w:t>
      </w:r>
      <w:proofErr w:type="spellStart"/>
      <w:r w:rsidR="0086581C" w:rsidRPr="0086581C">
        <w:t>Fissan</w:t>
      </w:r>
      <w:proofErr w:type="spellEnd"/>
      <w:r w:rsidR="0086581C" w:rsidRPr="0086581C">
        <w:t xml:space="preserve">, S.E. </w:t>
      </w:r>
      <w:proofErr w:type="spellStart"/>
      <w:r w:rsidR="0086581C" w:rsidRPr="0086581C">
        <w:t>Pratsinis</w:t>
      </w:r>
      <w:proofErr w:type="spellEnd"/>
      <w:r w:rsidR="0086581C" w:rsidRPr="0086581C">
        <w:t xml:space="preserve">, M.L. </w:t>
      </w:r>
      <w:proofErr w:type="spellStart"/>
      <w:r w:rsidR="0086581C" w:rsidRPr="0086581C">
        <w:t>Eggersdorfer</w:t>
      </w:r>
      <w:proofErr w:type="spellEnd"/>
      <w:r w:rsidR="0086581C" w:rsidRPr="0086581C">
        <w:t xml:space="preserve">, D.Y.H. </w:t>
      </w:r>
      <w:proofErr w:type="spellStart"/>
      <w:r w:rsidR="0086581C" w:rsidRPr="0086581C">
        <w:t>Pui</w:t>
      </w:r>
      <w:proofErr w:type="spellEnd"/>
      <w:r w:rsidR="0086581C" w:rsidRPr="0086581C">
        <w:t>, The capacitance and charge of agglomerated nanoparticles during sintering, J. Aerosol Sci. 83 (2015) 1–11. https://doi.org/10.1016/j.jaerosci.2015.01.002.</w:t>
      </w:r>
    </w:p>
    <w:p w14:paraId="2B93772E" w14:textId="77777777" w:rsidR="0086581C" w:rsidRDefault="0086581C" w:rsidP="00245812"/>
    <w:p w14:paraId="592879A6" w14:textId="0A0011BD" w:rsidR="0086581C" w:rsidRDefault="002B3D8B" w:rsidP="00245812">
      <w:r>
        <w:rPr>
          <w:noProof/>
        </w:rPr>
        <w:t xml:space="preserve">[74] </w:t>
      </w:r>
      <w:r w:rsidR="0086581C" w:rsidRPr="009E6521">
        <w:rPr>
          <w:noProof/>
        </w:rPr>
        <w:t>T.J. Johnson, R.T. Nishida, X. Zhang, J.P.R. Symonds, J.S. Olfert, A.M. Boies, Generating an aerosol of homogeneous, non-spherical particles and measuring their bipolar charge distribution, J. Aerosol Sci. 153 (2021) 105705. https://doi.org/10.1016/j.jaerosci.2020.105705.</w:t>
      </w:r>
    </w:p>
    <w:p w14:paraId="76EFAB55" w14:textId="2B9187BD" w:rsidR="0086581C" w:rsidRPr="000F1E49" w:rsidRDefault="0086581C" w:rsidP="00245812">
      <w:pPr>
        <w:sectPr w:rsidR="0086581C" w:rsidRPr="000F1E49" w:rsidSect="00590610">
          <w:footerReference w:type="default" r:id="rId9"/>
          <w:pgSz w:w="11901" w:h="16840" w:code="9"/>
          <w:pgMar w:top="1418" w:right="1701" w:bottom="1418" w:left="1701" w:header="709" w:footer="709" w:gutter="0"/>
          <w:lnNumType w:countBy="1" w:restart="continuous"/>
          <w:pgNumType w:start="1"/>
          <w:cols w:space="708"/>
          <w:docGrid w:linePitch="360"/>
        </w:sectPr>
      </w:pPr>
    </w:p>
    <w:p w14:paraId="043F9579" w14:textId="1669A960" w:rsidR="00880D4A" w:rsidRDefault="00880D4A" w:rsidP="00245812">
      <w:pPr>
        <w:pStyle w:val="SIHeading1"/>
      </w:pPr>
      <w:r>
        <w:lastRenderedPageBreak/>
        <w:t>Supplementary tables</w:t>
      </w:r>
    </w:p>
    <w:p w14:paraId="71C8A42D" w14:textId="5505500B" w:rsidR="00454313" w:rsidRPr="00C9061D" w:rsidRDefault="00454313" w:rsidP="001C342B">
      <w:pPr>
        <w:pStyle w:val="Tabletitle"/>
      </w:pPr>
      <w:bookmarkStart w:id="11" w:name="_Ref55452858"/>
      <w:bookmarkStart w:id="12" w:name="_Ref70436222"/>
      <w:bookmarkStart w:id="13" w:name="_Ref55452852"/>
      <w:bookmarkStart w:id="14" w:name="_Ref70066857"/>
      <w:r w:rsidRPr="009A61DD">
        <w:t xml:space="preserve">Table </w:t>
      </w:r>
      <w:bookmarkEnd w:id="11"/>
      <w:r w:rsidRPr="009A61DD">
        <w:t>S</w:t>
      </w:r>
      <w:r w:rsidR="003E052F">
        <w:rPr>
          <w:noProof/>
        </w:rPr>
        <w:t>1</w:t>
      </w:r>
      <w:bookmarkEnd w:id="12"/>
      <w:r w:rsidRPr="009A61DD">
        <w:t>. Instruments</w:t>
      </w:r>
      <w:r w:rsidRPr="00C9061D">
        <w:t xml:space="preserve"> used to measure in situ aerosol light absorption in this work.</w:t>
      </w:r>
      <w:bookmarkEnd w:id="13"/>
      <w:r w:rsidRPr="00C9061D">
        <w:t xml:space="preserve"> CAPS PM</w:t>
      </w:r>
      <w:r w:rsidRPr="00C9061D">
        <w:rPr>
          <w:vertAlign w:val="subscript"/>
        </w:rPr>
        <w:t>SSA</w:t>
      </w:r>
      <w:r w:rsidRPr="00C9061D">
        <w:t xml:space="preserve">: Cavity attenuation phase shift—particulate matter single scattering albedo; </w:t>
      </w:r>
      <w:r w:rsidR="001769A0">
        <w:t>MSS</w:t>
      </w:r>
      <w:r w:rsidRPr="00C9061D">
        <w:t>: Micro soot sensor</w:t>
      </w:r>
      <w:r w:rsidR="001F4BAC">
        <w:t xml:space="preserve"> plus</w:t>
      </w:r>
      <w:r w:rsidRPr="00C9061D">
        <w:t xml:space="preserve">; PAX: photoacoustic </w:t>
      </w:r>
      <w:proofErr w:type="spellStart"/>
      <w:r w:rsidRPr="00C9061D">
        <w:t>extinctiometer</w:t>
      </w:r>
      <w:proofErr w:type="spellEnd"/>
      <w:r w:rsidRPr="00C9061D">
        <w:t>.</w:t>
      </w:r>
    </w:p>
    <w:p w14:paraId="394F4750" w14:textId="77777777" w:rsidR="00454313" w:rsidRPr="005807E5" w:rsidRDefault="00454313" w:rsidP="00C9061D"/>
    <w:tbl>
      <w:tblPr>
        <w:tblStyle w:val="ListTable1Light"/>
        <w:tblW w:w="5000" w:type="pct"/>
        <w:tblLook w:val="06A0" w:firstRow="1" w:lastRow="0" w:firstColumn="1" w:lastColumn="0" w:noHBand="1" w:noVBand="1"/>
      </w:tblPr>
      <w:tblGrid>
        <w:gridCol w:w="2936"/>
        <w:gridCol w:w="1735"/>
        <w:gridCol w:w="4672"/>
        <w:gridCol w:w="4661"/>
      </w:tblGrid>
      <w:tr w:rsidR="00454313" w14:paraId="2FF690F2" w14:textId="77777777" w:rsidTr="00203E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single" w:sz="4" w:space="0" w:color="auto"/>
            </w:tcBorders>
          </w:tcPr>
          <w:p w14:paraId="316F905F" w14:textId="77777777" w:rsidR="00454313" w:rsidRPr="009473BC" w:rsidRDefault="00454313" w:rsidP="00224959">
            <w:r>
              <w:t>Instrument</w:t>
            </w:r>
          </w:p>
        </w:tc>
        <w:tc>
          <w:tcPr>
            <w:tcW w:w="619" w:type="pct"/>
            <w:tcBorders>
              <w:top w:val="single" w:sz="4" w:space="0" w:color="auto"/>
            </w:tcBorders>
          </w:tcPr>
          <w:p w14:paraId="20024ADB" w14:textId="77777777" w:rsidR="00454313" w:rsidRPr="009473BC" w:rsidRDefault="00454313" w:rsidP="00A36D33">
            <w:pPr>
              <w:cnfStyle w:val="100000000000" w:firstRow="1" w:lastRow="0" w:firstColumn="0" w:lastColumn="0" w:oddVBand="0" w:evenVBand="0" w:oddHBand="0" w:evenHBand="0" w:firstRowFirstColumn="0" w:firstRowLastColumn="0" w:lastRowFirstColumn="0" w:lastRowLastColumn="0"/>
            </w:pPr>
            <m:oMath>
              <m:r>
                <m:rPr>
                  <m:sty m:val="bi"/>
                </m:rPr>
                <w:rPr>
                  <w:rFonts w:ascii="Cambria Math" w:hAnsi="Cambria Math"/>
                </w:rPr>
                <m:t>λ</m:t>
              </m:r>
            </m:oMath>
            <w:r>
              <w:t xml:space="preserve"> [nm]</w:t>
            </w:r>
          </w:p>
        </w:tc>
        <w:tc>
          <w:tcPr>
            <w:tcW w:w="1668" w:type="pct"/>
            <w:tcBorders>
              <w:top w:val="single" w:sz="4" w:space="0" w:color="auto"/>
            </w:tcBorders>
          </w:tcPr>
          <w:p w14:paraId="12FE6BD5" w14:textId="77777777" w:rsidR="00454313" w:rsidRDefault="00454313" w:rsidP="00D56106">
            <w:pPr>
              <w:cnfStyle w:val="100000000000" w:firstRow="1" w:lastRow="0" w:firstColumn="0" w:lastColumn="0" w:oddVBand="0" w:evenVBand="0" w:oddHBand="0" w:evenHBand="0" w:firstRowFirstColumn="0" w:firstRowLastColumn="0" w:lastRowFirstColumn="0" w:lastRowLastColumn="0"/>
            </w:pPr>
            <w:r>
              <w:t>Measurement principle</w:t>
            </w:r>
          </w:p>
        </w:tc>
        <w:tc>
          <w:tcPr>
            <w:tcW w:w="1664" w:type="pct"/>
            <w:tcBorders>
              <w:top w:val="single" w:sz="4" w:space="0" w:color="auto"/>
            </w:tcBorders>
          </w:tcPr>
          <w:p w14:paraId="457B8DAA" w14:textId="77777777" w:rsidR="00454313" w:rsidRDefault="00454313" w:rsidP="003A4CD4">
            <w:pPr>
              <w:cnfStyle w:val="100000000000" w:firstRow="1" w:lastRow="0" w:firstColumn="0" w:lastColumn="0" w:oddVBand="0" w:evenVBand="0" w:oddHBand="0" w:evenHBand="0" w:firstRowFirstColumn="0" w:firstRowLastColumn="0" w:lastRowFirstColumn="0" w:lastRowLastColumn="0"/>
            </w:pPr>
            <w:r>
              <w:t>Calibration source</w:t>
            </w:r>
          </w:p>
        </w:tc>
      </w:tr>
      <w:tr w:rsidR="00454313" w14:paraId="2405A33A" w14:textId="77777777" w:rsidTr="00203E1D">
        <w:tc>
          <w:tcPr>
            <w:cnfStyle w:val="001000000000" w:firstRow="0" w:lastRow="0" w:firstColumn="1" w:lastColumn="0" w:oddVBand="0" w:evenVBand="0" w:oddHBand="0" w:evenHBand="0" w:firstRowFirstColumn="0" w:firstRowLastColumn="0" w:lastRowFirstColumn="0" w:lastRowLastColumn="0"/>
            <w:tcW w:w="1048" w:type="pct"/>
          </w:tcPr>
          <w:p w14:paraId="212353C1" w14:textId="77777777" w:rsidR="00454313" w:rsidRPr="009473BC" w:rsidRDefault="00454313" w:rsidP="00224959">
            <w:r>
              <w:t>CAPS PM</w:t>
            </w:r>
            <w:r w:rsidRPr="005807E5">
              <w:rPr>
                <w:vertAlign w:val="subscript"/>
              </w:rPr>
              <w:t>SSA</w:t>
            </w:r>
          </w:p>
        </w:tc>
        <w:tc>
          <w:tcPr>
            <w:tcW w:w="619" w:type="pct"/>
          </w:tcPr>
          <w:p w14:paraId="6350E3A9" w14:textId="77777777" w:rsidR="00454313" w:rsidRPr="009473BC" w:rsidRDefault="00454313" w:rsidP="00A36D33">
            <w:pPr>
              <w:cnfStyle w:val="000000000000" w:firstRow="0" w:lastRow="0" w:firstColumn="0" w:lastColumn="0" w:oddVBand="0" w:evenVBand="0" w:oddHBand="0" w:evenHBand="0" w:firstRowFirstColumn="0" w:firstRowLastColumn="0" w:lastRowFirstColumn="0" w:lastRowLastColumn="0"/>
            </w:pPr>
            <w:r>
              <w:t>660</w:t>
            </w:r>
          </w:p>
        </w:tc>
        <w:tc>
          <w:tcPr>
            <w:tcW w:w="1668" w:type="pct"/>
          </w:tcPr>
          <w:p w14:paraId="313AAE5A" w14:textId="77777777" w:rsidR="00454313" w:rsidRDefault="00454313" w:rsidP="00D56106">
            <w:pPr>
              <w:cnfStyle w:val="000000000000" w:firstRow="0" w:lastRow="0" w:firstColumn="0" w:lastColumn="0" w:oddVBand="0" w:evenVBand="0" w:oddHBand="0" w:evenHBand="0" w:firstRowFirstColumn="0" w:firstRowLastColumn="0" w:lastRowFirstColumn="0" w:lastRowLastColumn="0"/>
            </w:pPr>
            <w:r>
              <w:t>Extinction minus scattering</w:t>
            </w:r>
          </w:p>
        </w:tc>
        <w:tc>
          <w:tcPr>
            <w:tcW w:w="1664" w:type="pct"/>
          </w:tcPr>
          <w:p w14:paraId="333F7203" w14:textId="77777777" w:rsidR="00454313" w:rsidRPr="005807E5" w:rsidRDefault="00454313" w:rsidP="003A4CD4">
            <w:pPr>
              <w:cnfStyle w:val="000000000000" w:firstRow="0" w:lastRow="0" w:firstColumn="0" w:lastColumn="0" w:oddVBand="0" w:evenVBand="0" w:oddHBand="0" w:evenHBand="0" w:firstRowFirstColumn="0" w:firstRowLastColumn="0" w:lastRowFirstColumn="0" w:lastRowLastColumn="0"/>
            </w:pPr>
            <w:r>
              <w:t>(NH</w:t>
            </w:r>
            <w:r>
              <w:rPr>
                <w:vertAlign w:val="subscript"/>
              </w:rPr>
              <w:t>4</w:t>
            </w:r>
            <w:r>
              <w:t>)</w:t>
            </w:r>
            <w:r>
              <w:rPr>
                <w:vertAlign w:val="subscript"/>
              </w:rPr>
              <w:t>2</w:t>
            </w:r>
            <w:r>
              <w:t>SO</w:t>
            </w:r>
            <w:r>
              <w:rPr>
                <w:vertAlign w:val="subscript"/>
              </w:rPr>
              <w:t>4</w:t>
            </w:r>
          </w:p>
        </w:tc>
      </w:tr>
      <w:tr w:rsidR="00454313" w14:paraId="4BB25AF2" w14:textId="77777777" w:rsidTr="00203E1D">
        <w:tc>
          <w:tcPr>
            <w:cnfStyle w:val="001000000000" w:firstRow="0" w:lastRow="0" w:firstColumn="1" w:lastColumn="0" w:oddVBand="0" w:evenVBand="0" w:oddHBand="0" w:evenHBand="0" w:firstRowFirstColumn="0" w:firstRowLastColumn="0" w:lastRowFirstColumn="0" w:lastRowLastColumn="0"/>
            <w:tcW w:w="1048" w:type="pct"/>
          </w:tcPr>
          <w:p w14:paraId="07539C26" w14:textId="06FBCAF0" w:rsidR="00454313" w:rsidRDefault="004B6235" w:rsidP="00224959">
            <w:r>
              <w:t>MSS</w:t>
            </w:r>
          </w:p>
        </w:tc>
        <w:tc>
          <w:tcPr>
            <w:tcW w:w="619" w:type="pct"/>
          </w:tcPr>
          <w:p w14:paraId="2D9A1A80" w14:textId="77777777" w:rsidR="00454313" w:rsidRPr="009473BC" w:rsidRDefault="00454313" w:rsidP="00A36D33">
            <w:pPr>
              <w:cnfStyle w:val="000000000000" w:firstRow="0" w:lastRow="0" w:firstColumn="0" w:lastColumn="0" w:oddVBand="0" w:evenVBand="0" w:oddHBand="0" w:evenHBand="0" w:firstRowFirstColumn="0" w:firstRowLastColumn="0" w:lastRowFirstColumn="0" w:lastRowLastColumn="0"/>
            </w:pPr>
            <w:r>
              <w:t>808</w:t>
            </w:r>
          </w:p>
        </w:tc>
        <w:tc>
          <w:tcPr>
            <w:tcW w:w="1668" w:type="pct"/>
          </w:tcPr>
          <w:p w14:paraId="0BF758ED" w14:textId="77777777" w:rsidR="00454313" w:rsidRPr="009473BC" w:rsidRDefault="00454313" w:rsidP="00D56106">
            <w:pPr>
              <w:cnfStyle w:val="000000000000" w:firstRow="0" w:lastRow="0" w:firstColumn="0" w:lastColumn="0" w:oddVBand="0" w:evenVBand="0" w:oddHBand="0" w:evenHBand="0" w:firstRowFirstColumn="0" w:firstRowLastColumn="0" w:lastRowFirstColumn="0" w:lastRowLastColumn="0"/>
            </w:pPr>
            <w:r>
              <w:t>Photoacoustic</w:t>
            </w:r>
          </w:p>
        </w:tc>
        <w:tc>
          <w:tcPr>
            <w:tcW w:w="1664" w:type="pct"/>
          </w:tcPr>
          <w:p w14:paraId="2B1B26F5" w14:textId="77777777" w:rsidR="00454313" w:rsidRDefault="00454313" w:rsidP="003A4CD4">
            <w:pPr>
              <w:cnfStyle w:val="000000000000" w:firstRow="0" w:lastRow="0" w:firstColumn="0" w:lastColumn="0" w:oddVBand="0" w:evenVBand="0" w:oddHBand="0" w:evenHBand="0" w:firstRowFirstColumn="0" w:firstRowLastColumn="0" w:lastRowFirstColumn="0" w:lastRowLastColumn="0"/>
            </w:pPr>
            <w:r>
              <w:t>MISG soot</w:t>
            </w:r>
          </w:p>
        </w:tc>
      </w:tr>
      <w:tr w:rsidR="00454313" w14:paraId="092ECBD8" w14:textId="77777777" w:rsidTr="00203E1D">
        <w:tc>
          <w:tcPr>
            <w:cnfStyle w:val="001000000000" w:firstRow="0" w:lastRow="0" w:firstColumn="1" w:lastColumn="0" w:oddVBand="0" w:evenVBand="0" w:oddHBand="0" w:evenHBand="0" w:firstRowFirstColumn="0" w:firstRowLastColumn="0" w:lastRowFirstColumn="0" w:lastRowLastColumn="0"/>
            <w:tcW w:w="1048" w:type="pct"/>
          </w:tcPr>
          <w:p w14:paraId="1457DCDE" w14:textId="77777777" w:rsidR="00454313" w:rsidRDefault="00454313" w:rsidP="00224959">
            <w:r>
              <w:t>PAX</w:t>
            </w:r>
          </w:p>
        </w:tc>
        <w:tc>
          <w:tcPr>
            <w:tcW w:w="619" w:type="pct"/>
          </w:tcPr>
          <w:p w14:paraId="09C0FA28" w14:textId="77777777" w:rsidR="00454313" w:rsidRDefault="00454313" w:rsidP="00A36D33">
            <w:pPr>
              <w:cnfStyle w:val="000000000000" w:firstRow="0" w:lastRow="0" w:firstColumn="0" w:lastColumn="0" w:oddVBand="0" w:evenVBand="0" w:oddHBand="0" w:evenHBand="0" w:firstRowFirstColumn="0" w:firstRowLastColumn="0" w:lastRowFirstColumn="0" w:lastRowLastColumn="0"/>
            </w:pPr>
            <w:r>
              <w:t>870</w:t>
            </w:r>
          </w:p>
        </w:tc>
        <w:tc>
          <w:tcPr>
            <w:tcW w:w="1668" w:type="pct"/>
          </w:tcPr>
          <w:p w14:paraId="4B498B46" w14:textId="77777777" w:rsidR="00454313" w:rsidRDefault="00454313" w:rsidP="00D56106">
            <w:pPr>
              <w:cnfStyle w:val="000000000000" w:firstRow="0" w:lastRow="0" w:firstColumn="0" w:lastColumn="0" w:oddVBand="0" w:evenVBand="0" w:oddHBand="0" w:evenHBand="0" w:firstRowFirstColumn="0" w:firstRowLastColumn="0" w:lastRowFirstColumn="0" w:lastRowLastColumn="0"/>
            </w:pPr>
            <w:r>
              <w:t>Photoacoustic</w:t>
            </w:r>
          </w:p>
        </w:tc>
        <w:tc>
          <w:tcPr>
            <w:tcW w:w="1664" w:type="pct"/>
          </w:tcPr>
          <w:p w14:paraId="5F70E5DA" w14:textId="77777777" w:rsidR="00454313" w:rsidRDefault="00454313" w:rsidP="003A4CD4">
            <w:pPr>
              <w:cnfStyle w:val="000000000000" w:firstRow="0" w:lastRow="0" w:firstColumn="0" w:lastColumn="0" w:oddVBand="0" w:evenVBand="0" w:oddHBand="0" w:evenHBand="0" w:firstRowFirstColumn="0" w:firstRowLastColumn="0" w:lastRowFirstColumn="0" w:lastRowLastColumn="0"/>
            </w:pPr>
            <w:r>
              <w:t>Graphitic nanoparticles and (NH</w:t>
            </w:r>
            <w:r>
              <w:rPr>
                <w:vertAlign w:val="subscript"/>
              </w:rPr>
              <w:t>4</w:t>
            </w:r>
            <w:r>
              <w:t>)</w:t>
            </w:r>
            <w:r>
              <w:rPr>
                <w:vertAlign w:val="subscript"/>
              </w:rPr>
              <w:t>2</w:t>
            </w:r>
            <w:r>
              <w:t>SO</w:t>
            </w:r>
            <w:r>
              <w:rPr>
                <w:vertAlign w:val="subscript"/>
              </w:rPr>
              <w:t>4</w:t>
            </w:r>
          </w:p>
        </w:tc>
      </w:tr>
      <w:tr w:rsidR="00454313" w14:paraId="335A7C0E" w14:textId="77777777" w:rsidTr="00203E1D">
        <w:tc>
          <w:tcPr>
            <w:cnfStyle w:val="001000000000" w:firstRow="0" w:lastRow="0" w:firstColumn="1" w:lastColumn="0" w:oddVBand="0" w:evenVBand="0" w:oddHBand="0" w:evenHBand="0" w:firstRowFirstColumn="0" w:firstRowLastColumn="0" w:lastRowFirstColumn="0" w:lastRowLastColumn="0"/>
            <w:tcW w:w="1048" w:type="pct"/>
          </w:tcPr>
          <w:p w14:paraId="75ED76F4" w14:textId="77777777" w:rsidR="00454313" w:rsidRDefault="00454313" w:rsidP="00203E1D">
            <w:pPr>
              <w:jc w:val="center"/>
              <w:rPr>
                <w:b w:val="0"/>
              </w:rPr>
            </w:pPr>
          </w:p>
        </w:tc>
        <w:tc>
          <w:tcPr>
            <w:tcW w:w="619" w:type="pct"/>
          </w:tcPr>
          <w:p w14:paraId="31F975AA" w14:textId="77777777" w:rsidR="00454313" w:rsidRDefault="00454313" w:rsidP="00203E1D">
            <w:pPr>
              <w:jc w:val="center"/>
              <w:cnfStyle w:val="000000000000" w:firstRow="0" w:lastRow="0" w:firstColumn="0" w:lastColumn="0" w:oddVBand="0" w:evenVBand="0" w:oddHBand="0" w:evenHBand="0" w:firstRowFirstColumn="0" w:firstRowLastColumn="0" w:lastRowFirstColumn="0" w:lastRowLastColumn="0"/>
            </w:pPr>
          </w:p>
        </w:tc>
        <w:tc>
          <w:tcPr>
            <w:tcW w:w="1668" w:type="pct"/>
          </w:tcPr>
          <w:p w14:paraId="4A23BA86" w14:textId="77777777" w:rsidR="00454313" w:rsidRDefault="00454313" w:rsidP="00203E1D">
            <w:pPr>
              <w:jc w:val="center"/>
              <w:cnfStyle w:val="000000000000" w:firstRow="0" w:lastRow="0" w:firstColumn="0" w:lastColumn="0" w:oddVBand="0" w:evenVBand="0" w:oddHBand="0" w:evenHBand="0" w:firstRowFirstColumn="0" w:firstRowLastColumn="0" w:lastRowFirstColumn="0" w:lastRowLastColumn="0"/>
            </w:pPr>
          </w:p>
        </w:tc>
        <w:tc>
          <w:tcPr>
            <w:tcW w:w="1664" w:type="pct"/>
          </w:tcPr>
          <w:p w14:paraId="57B77042" w14:textId="77777777" w:rsidR="00454313" w:rsidRDefault="00454313" w:rsidP="00203E1D">
            <w:pPr>
              <w:jc w:val="center"/>
              <w:cnfStyle w:val="000000000000" w:firstRow="0" w:lastRow="0" w:firstColumn="0" w:lastColumn="0" w:oddVBand="0" w:evenVBand="0" w:oddHBand="0" w:evenHBand="0" w:firstRowFirstColumn="0" w:firstRowLastColumn="0" w:lastRowFirstColumn="0" w:lastRowLastColumn="0"/>
            </w:pPr>
          </w:p>
        </w:tc>
      </w:tr>
    </w:tbl>
    <w:p w14:paraId="0FAE75B1" w14:textId="77777777" w:rsidR="00454313" w:rsidRDefault="00454313" w:rsidP="00AB20CB">
      <w:pPr>
        <w:pStyle w:val="Tabletitle"/>
      </w:pPr>
    </w:p>
    <w:p w14:paraId="30B4478E" w14:textId="77777777" w:rsidR="00454313" w:rsidRDefault="00454313">
      <w:pPr>
        <w:spacing w:line="240" w:lineRule="auto"/>
      </w:pPr>
      <w:r>
        <w:br w:type="page"/>
      </w:r>
    </w:p>
    <w:p w14:paraId="43DB8F70" w14:textId="701CE2DF" w:rsidR="00AB20CB" w:rsidRDefault="00AB20CB" w:rsidP="00AB20CB">
      <w:pPr>
        <w:pStyle w:val="Tabletitle"/>
      </w:pPr>
      <w:bookmarkStart w:id="15" w:name="_Ref70436211"/>
      <w:r>
        <w:lastRenderedPageBreak/>
        <w:t>Table S</w:t>
      </w:r>
      <w:bookmarkEnd w:id="14"/>
      <w:r w:rsidR="003E052F">
        <w:rPr>
          <w:noProof/>
        </w:rPr>
        <w:t>2</w:t>
      </w:r>
      <w:bookmarkEnd w:id="15"/>
      <w:r>
        <w:t xml:space="preserve">. Experimental conditions of single-particle-mass- or size-resolved MAC measurements in the literature. </w:t>
      </w:r>
      <w:r w:rsidR="00832086">
        <w:t xml:space="preserve">The APM (Aerosol Particle Mass </w:t>
      </w:r>
      <w:proofErr w:type="spellStart"/>
      <w:r w:rsidR="00832086">
        <w:t>Analyzer</w:t>
      </w:r>
      <w:proofErr w:type="spellEnd"/>
      <w:r w:rsidR="00832086">
        <w:t xml:space="preserve">) in this table is analogous to the CPMA. </w:t>
      </w:r>
      <w:r>
        <w:t xml:space="preserve">The expression “DMA–APM+CPC” </w:t>
      </w:r>
      <w:r w:rsidR="00B75489">
        <w:t>(or “DMA-CP</w:t>
      </w:r>
      <w:r w:rsidR="00D12987">
        <w:t>M</w:t>
      </w:r>
      <w:r w:rsidR="00B75489">
        <w:t xml:space="preserve">A+CPA”) </w:t>
      </w:r>
      <w:r>
        <w:t>describes the use of a DMA to size-</w:t>
      </w:r>
      <w:r w:rsidR="00832086">
        <w:t xml:space="preserve">classify </w:t>
      </w:r>
      <w:r>
        <w:t>particles that are then counted by a CPC</w:t>
      </w:r>
      <w:r w:rsidR="00832086">
        <w:t xml:space="preserve">, then </w:t>
      </w:r>
      <w:r>
        <w:t xml:space="preserve">multiplied by the average </w:t>
      </w:r>
      <w:r w:rsidR="00832086">
        <w:t>single-</w:t>
      </w:r>
      <w:r>
        <w:t>particle mass measured by an APM–CPC</w:t>
      </w:r>
      <w:r w:rsidR="00B75489">
        <w:t xml:space="preserve"> (or</w:t>
      </w:r>
      <w:r w:rsidR="00D12987">
        <w:t xml:space="preserve"> CPMA-CPC)</w:t>
      </w:r>
      <w:r>
        <w:t xml:space="preserve"> experiment, which is sometimes called an effective density measurement. </w:t>
      </w:r>
    </w:p>
    <w:tbl>
      <w:tblPr>
        <w:tblStyle w:val="ListTable1Light"/>
        <w:tblW w:w="5000" w:type="pct"/>
        <w:jc w:val="center"/>
        <w:tblLook w:val="06A0" w:firstRow="1" w:lastRow="0" w:firstColumn="1" w:lastColumn="0" w:noHBand="1" w:noVBand="1"/>
      </w:tblPr>
      <w:tblGrid>
        <w:gridCol w:w="1985"/>
        <w:gridCol w:w="1801"/>
        <w:gridCol w:w="1602"/>
        <w:gridCol w:w="3683"/>
        <w:gridCol w:w="2129"/>
        <w:gridCol w:w="2804"/>
      </w:tblGrid>
      <w:tr w:rsidR="00222B16" w:rsidRPr="00835EDD" w14:paraId="24E657EC" w14:textId="5906EBBE" w:rsidTr="00222B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9" w:type="pct"/>
            <w:tcBorders>
              <w:top w:val="single" w:sz="4" w:space="0" w:color="auto"/>
            </w:tcBorders>
            <w:vAlign w:val="center"/>
          </w:tcPr>
          <w:p w14:paraId="591A93CD" w14:textId="77777777" w:rsidR="00922ACD" w:rsidRPr="005224DA" w:rsidRDefault="00922ACD" w:rsidP="00FF059A">
            <w:pPr>
              <w:jc w:val="center"/>
              <w:rPr>
                <w:sz w:val="22"/>
              </w:rPr>
            </w:pPr>
            <w:r w:rsidRPr="005224DA">
              <w:rPr>
                <w:sz w:val="22"/>
              </w:rPr>
              <w:t>Study</w:t>
            </w:r>
          </w:p>
        </w:tc>
        <w:tc>
          <w:tcPr>
            <w:tcW w:w="643" w:type="pct"/>
            <w:tcBorders>
              <w:top w:val="single" w:sz="4" w:space="0" w:color="auto"/>
            </w:tcBorders>
            <w:vAlign w:val="center"/>
          </w:tcPr>
          <w:p w14:paraId="6BA510B0" w14:textId="77777777" w:rsidR="00922ACD" w:rsidRPr="005224DA" w:rsidRDefault="00922ACD" w:rsidP="00FF059A">
            <w:pPr>
              <w:jc w:val="center"/>
              <w:cnfStyle w:val="100000000000" w:firstRow="1" w:lastRow="0" w:firstColumn="0" w:lastColumn="0" w:oddVBand="0" w:evenVBand="0" w:oddHBand="0" w:evenHBand="0" w:firstRowFirstColumn="0" w:firstRowLastColumn="0" w:lastRowFirstColumn="0" w:lastRowLastColumn="0"/>
              <w:rPr>
                <w:sz w:val="22"/>
              </w:rPr>
            </w:pPr>
            <w:r w:rsidRPr="005224DA">
              <w:rPr>
                <w:sz w:val="22"/>
              </w:rPr>
              <w:t>Particle charging</w:t>
            </w:r>
          </w:p>
        </w:tc>
        <w:tc>
          <w:tcPr>
            <w:tcW w:w="572" w:type="pct"/>
            <w:tcBorders>
              <w:top w:val="single" w:sz="4" w:space="0" w:color="auto"/>
            </w:tcBorders>
            <w:vAlign w:val="center"/>
          </w:tcPr>
          <w:p w14:paraId="367E1B63" w14:textId="77777777" w:rsidR="00922ACD" w:rsidRPr="005224DA" w:rsidRDefault="00922ACD" w:rsidP="00FF059A">
            <w:pPr>
              <w:jc w:val="center"/>
              <w:cnfStyle w:val="100000000000" w:firstRow="1" w:lastRow="0" w:firstColumn="0" w:lastColumn="0" w:oddVBand="0" w:evenVBand="0" w:oddHBand="0" w:evenHBand="0" w:firstRowFirstColumn="0" w:firstRowLastColumn="0" w:lastRowFirstColumn="0" w:lastRowLastColumn="0"/>
              <w:rPr>
                <w:sz w:val="22"/>
              </w:rPr>
            </w:pPr>
            <w:r w:rsidRPr="005224DA">
              <w:rPr>
                <w:sz w:val="22"/>
              </w:rPr>
              <w:t>Particle classification</w:t>
            </w:r>
          </w:p>
        </w:tc>
        <w:tc>
          <w:tcPr>
            <w:tcW w:w="1315" w:type="pct"/>
            <w:tcBorders>
              <w:top w:val="single" w:sz="4" w:space="0" w:color="auto"/>
            </w:tcBorders>
            <w:vAlign w:val="center"/>
          </w:tcPr>
          <w:p w14:paraId="1EED6ABA" w14:textId="77777777" w:rsidR="00922ACD" w:rsidRPr="005224DA" w:rsidRDefault="00922ACD" w:rsidP="00FF059A">
            <w:pPr>
              <w:jc w:val="center"/>
              <w:cnfStyle w:val="100000000000" w:firstRow="1" w:lastRow="0" w:firstColumn="0" w:lastColumn="0" w:oddVBand="0" w:evenVBand="0" w:oddHBand="0" w:evenHBand="0" w:firstRowFirstColumn="0" w:firstRowLastColumn="0" w:lastRowFirstColumn="0" w:lastRowLastColumn="0"/>
              <w:rPr>
                <w:sz w:val="22"/>
                <w:vertAlign w:val="subscript"/>
              </w:rPr>
            </w:pPr>
            <w:r w:rsidRPr="005224DA">
              <w:rPr>
                <w:sz w:val="22"/>
              </w:rPr>
              <w:t xml:space="preserve">Absorption measurement, </w:t>
            </w:r>
            <w:proofErr w:type="spellStart"/>
            <w:r w:rsidRPr="005224DA">
              <w:rPr>
                <w:i/>
                <w:sz w:val="22"/>
              </w:rPr>
              <w:t>B</w:t>
            </w:r>
            <w:r w:rsidRPr="005224DA">
              <w:rPr>
                <w:sz w:val="22"/>
                <w:vertAlign w:val="subscript"/>
              </w:rPr>
              <w:t>abn</w:t>
            </w:r>
            <w:proofErr w:type="spellEnd"/>
          </w:p>
        </w:tc>
        <w:tc>
          <w:tcPr>
            <w:tcW w:w="760" w:type="pct"/>
            <w:tcBorders>
              <w:top w:val="single" w:sz="4" w:space="0" w:color="auto"/>
            </w:tcBorders>
            <w:vAlign w:val="center"/>
          </w:tcPr>
          <w:p w14:paraId="1524192C" w14:textId="77777777" w:rsidR="00922ACD" w:rsidRPr="005224DA" w:rsidRDefault="00922ACD" w:rsidP="00FF059A">
            <w:pPr>
              <w:jc w:val="center"/>
              <w:cnfStyle w:val="100000000000" w:firstRow="1" w:lastRow="0" w:firstColumn="0" w:lastColumn="0" w:oddVBand="0" w:evenVBand="0" w:oddHBand="0" w:evenHBand="0" w:firstRowFirstColumn="0" w:firstRowLastColumn="0" w:lastRowFirstColumn="0" w:lastRowLastColumn="0"/>
              <w:rPr>
                <w:sz w:val="22"/>
              </w:rPr>
            </w:pPr>
            <w:r w:rsidRPr="005224DA">
              <w:rPr>
                <w:sz w:val="22"/>
              </w:rPr>
              <w:t xml:space="preserve">Mass concentration measurement, </w:t>
            </w:r>
            <w:r w:rsidRPr="005224DA">
              <w:rPr>
                <w:i/>
                <w:sz w:val="22"/>
              </w:rPr>
              <w:t>M</w:t>
            </w:r>
            <w:r w:rsidRPr="005224DA">
              <w:rPr>
                <w:sz w:val="22"/>
                <w:vertAlign w:val="subscript"/>
              </w:rPr>
              <w:t>PM</w:t>
            </w:r>
          </w:p>
        </w:tc>
        <w:tc>
          <w:tcPr>
            <w:tcW w:w="1001" w:type="pct"/>
            <w:tcBorders>
              <w:top w:val="single" w:sz="4" w:space="0" w:color="auto"/>
            </w:tcBorders>
          </w:tcPr>
          <w:p w14:paraId="798EAF03" w14:textId="3A4529B1" w:rsidR="00922ACD" w:rsidRPr="005224DA" w:rsidRDefault="00922ACD" w:rsidP="00FF059A">
            <w:pPr>
              <w:jc w:val="center"/>
              <w:cnfStyle w:val="100000000000" w:firstRow="1" w:lastRow="0" w:firstColumn="0" w:lastColumn="0" w:oddVBand="0" w:evenVBand="0" w:oddHBand="0" w:evenHBand="0" w:firstRowFirstColumn="0" w:firstRowLastColumn="0" w:lastRowFirstColumn="0" w:lastRowLastColumn="0"/>
              <w:rPr>
                <w:sz w:val="22"/>
              </w:rPr>
            </w:pPr>
            <w:r w:rsidRPr="005224DA">
              <w:rPr>
                <w:sz w:val="22"/>
              </w:rPr>
              <w:t>Multiple charging addressed by</w:t>
            </w:r>
          </w:p>
        </w:tc>
      </w:tr>
      <w:tr w:rsidR="00222B16" w:rsidRPr="00835EDD" w14:paraId="4AC2C229" w14:textId="71DD01DE" w:rsidTr="00222B16">
        <w:trPr>
          <w:jc w:val="center"/>
        </w:trPr>
        <w:tc>
          <w:tcPr>
            <w:cnfStyle w:val="001000000000" w:firstRow="0" w:lastRow="0" w:firstColumn="1" w:lastColumn="0" w:oddVBand="0" w:evenVBand="0" w:oddHBand="0" w:evenHBand="0" w:firstRowFirstColumn="0" w:firstRowLastColumn="0" w:lastRowFirstColumn="0" w:lastRowLastColumn="0"/>
            <w:tcW w:w="709" w:type="pct"/>
          </w:tcPr>
          <w:p w14:paraId="33C7AF49" w14:textId="77777777" w:rsidR="00922ACD" w:rsidRPr="005224DA" w:rsidRDefault="00922ACD" w:rsidP="00FF059A">
            <w:pPr>
              <w:jc w:val="center"/>
              <w:rPr>
                <w:sz w:val="22"/>
              </w:rPr>
            </w:pPr>
            <w:r w:rsidRPr="005224DA">
              <w:rPr>
                <w:sz w:val="22"/>
              </w:rPr>
              <w:t>This work</w:t>
            </w:r>
          </w:p>
        </w:tc>
        <w:tc>
          <w:tcPr>
            <w:tcW w:w="643" w:type="pct"/>
          </w:tcPr>
          <w:p w14:paraId="0E9C3FFD"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Highly charged (UDAC)</w:t>
            </w:r>
          </w:p>
        </w:tc>
        <w:tc>
          <w:tcPr>
            <w:tcW w:w="572" w:type="pct"/>
          </w:tcPr>
          <w:p w14:paraId="1B4F96CB"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CPMA</w:t>
            </w:r>
          </w:p>
        </w:tc>
        <w:tc>
          <w:tcPr>
            <w:tcW w:w="1315" w:type="pct"/>
          </w:tcPr>
          <w:p w14:paraId="5758A0F8" w14:textId="690B226E"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 xml:space="preserve">Photoacoustic (2 instruments) and  extinction-minus-scattering </w:t>
            </w:r>
            <w:r w:rsidRPr="005224DA">
              <w:rPr>
                <w:sz w:val="22"/>
              </w:rPr>
              <w:br/>
              <w:t>(CAPS PM</w:t>
            </w:r>
            <w:r w:rsidRPr="005224DA">
              <w:rPr>
                <w:sz w:val="22"/>
                <w:vertAlign w:val="subscript"/>
              </w:rPr>
              <w:t>SSA</w:t>
            </w:r>
            <w:r w:rsidRPr="005224DA">
              <w:rPr>
                <w:sz w:val="22"/>
              </w:rPr>
              <w:t>)</w:t>
            </w:r>
          </w:p>
        </w:tc>
        <w:tc>
          <w:tcPr>
            <w:tcW w:w="760" w:type="pct"/>
          </w:tcPr>
          <w:p w14:paraId="7E241EE9"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CPMA–electrometer</w:t>
            </w:r>
          </w:p>
        </w:tc>
        <w:tc>
          <w:tcPr>
            <w:tcW w:w="1001" w:type="pct"/>
          </w:tcPr>
          <w:p w14:paraId="469DA48C" w14:textId="2A4DF7FE" w:rsidR="00922ACD" w:rsidRPr="005224DA" w:rsidRDefault="00F55D0F" w:rsidP="00F55D0F">
            <w:pPr>
              <w:jc w:val="center"/>
              <w:cnfStyle w:val="000000000000" w:firstRow="0" w:lastRow="0" w:firstColumn="0" w:lastColumn="0" w:oddVBand="0" w:evenVBand="0" w:oddHBand="0" w:evenHBand="0" w:firstRowFirstColumn="0" w:firstRowLastColumn="0" w:lastRowFirstColumn="0" w:lastRowLastColumn="0"/>
              <w:rPr>
                <w:sz w:val="20"/>
              </w:rPr>
            </w:pPr>
            <w:r>
              <w:rPr>
                <w:sz w:val="20"/>
              </w:rPr>
              <w:t xml:space="preserve">Average single-particle mass from </w:t>
            </w:r>
            <w:r w:rsidR="00922ACD" w:rsidRPr="005224DA">
              <w:rPr>
                <w:sz w:val="20"/>
              </w:rPr>
              <w:t>UDAC-CPMA</w:t>
            </w:r>
            <w:r w:rsidR="00835EDD" w:rsidRPr="005224DA">
              <w:rPr>
                <w:sz w:val="20"/>
              </w:rPr>
              <w:t>;</w:t>
            </w:r>
            <w:r w:rsidR="00922ACD" w:rsidRPr="005224DA">
              <w:rPr>
                <w:sz w:val="20"/>
              </w:rPr>
              <w:t xml:space="preserve"> checked against downstream SMPS measurement</w:t>
            </w:r>
          </w:p>
        </w:tc>
      </w:tr>
      <w:tr w:rsidR="00222B16" w:rsidRPr="00835EDD" w14:paraId="2A104BF6" w14:textId="28BE754A" w:rsidTr="00222B16">
        <w:trPr>
          <w:jc w:val="center"/>
        </w:trPr>
        <w:tc>
          <w:tcPr>
            <w:cnfStyle w:val="001000000000" w:firstRow="0" w:lastRow="0" w:firstColumn="1" w:lastColumn="0" w:oddVBand="0" w:evenVBand="0" w:oddHBand="0" w:evenHBand="0" w:firstRowFirstColumn="0" w:firstRowLastColumn="0" w:lastRowFirstColumn="0" w:lastRowLastColumn="0"/>
            <w:tcW w:w="709" w:type="pct"/>
          </w:tcPr>
          <w:p w14:paraId="2C9F7FEE" w14:textId="5337F6EA" w:rsidR="00922ACD" w:rsidRPr="005224DA" w:rsidRDefault="00922ACD" w:rsidP="00352340">
            <w:pPr>
              <w:jc w:val="center"/>
              <w:rPr>
                <w:sz w:val="22"/>
              </w:rPr>
            </w:pPr>
            <w:proofErr w:type="spellStart"/>
            <w:r w:rsidRPr="005224DA">
              <w:rPr>
                <w:sz w:val="22"/>
              </w:rPr>
              <w:t>Khalizov</w:t>
            </w:r>
            <w:proofErr w:type="spellEnd"/>
            <w:r w:rsidRPr="005224DA">
              <w:rPr>
                <w:sz w:val="22"/>
              </w:rPr>
              <w:t xml:space="preserve"> 2009 [26]</w:t>
            </w:r>
          </w:p>
        </w:tc>
        <w:tc>
          <w:tcPr>
            <w:tcW w:w="643" w:type="pct"/>
          </w:tcPr>
          <w:p w14:paraId="7DFB898D"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Equilibrium (</w:t>
            </w:r>
            <w:r w:rsidRPr="005224DA">
              <w:rPr>
                <w:sz w:val="22"/>
                <w:vertAlign w:val="superscript"/>
              </w:rPr>
              <w:t>210</w:t>
            </w:r>
            <w:r w:rsidRPr="005224DA">
              <w:rPr>
                <w:sz w:val="22"/>
              </w:rPr>
              <w:t>Po)</w:t>
            </w:r>
          </w:p>
        </w:tc>
        <w:tc>
          <w:tcPr>
            <w:tcW w:w="572" w:type="pct"/>
          </w:tcPr>
          <w:p w14:paraId="35D8D9FD" w14:textId="780268E8" w:rsidR="00922ACD" w:rsidRPr="005224DA" w:rsidRDefault="00922ACD" w:rsidP="005C3BB2">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DMA–DMA</w:t>
            </w:r>
            <w:r w:rsidR="005C3BB2" w:rsidRPr="005224DA">
              <w:rPr>
                <w:sz w:val="22"/>
              </w:rPr>
              <w:t xml:space="preserve"> </w:t>
            </w:r>
          </w:p>
        </w:tc>
        <w:tc>
          <w:tcPr>
            <w:tcW w:w="1315" w:type="pct"/>
          </w:tcPr>
          <w:p w14:paraId="5B2F8AD0" w14:textId="36AF67CE"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 xml:space="preserve">Extinction-minus-scattering </w:t>
            </w:r>
            <w:r w:rsidRPr="005224DA">
              <w:rPr>
                <w:sz w:val="22"/>
              </w:rPr>
              <w:br/>
              <w:t>(house-made)</w:t>
            </w:r>
          </w:p>
        </w:tc>
        <w:tc>
          <w:tcPr>
            <w:tcW w:w="760" w:type="pct"/>
          </w:tcPr>
          <w:p w14:paraId="49ED277A"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DMA–APM+CPC</w:t>
            </w:r>
          </w:p>
        </w:tc>
        <w:tc>
          <w:tcPr>
            <w:tcW w:w="1001" w:type="pct"/>
          </w:tcPr>
          <w:p w14:paraId="2DA656F9" w14:textId="7E1577CD" w:rsidR="00922ACD" w:rsidRPr="005224DA" w:rsidRDefault="00A9738C" w:rsidP="000C4939">
            <w:pPr>
              <w:jc w:val="center"/>
              <w:cnfStyle w:val="000000000000" w:firstRow="0" w:lastRow="0" w:firstColumn="0" w:lastColumn="0" w:oddVBand="0" w:evenVBand="0" w:oddHBand="0" w:evenHBand="0" w:firstRowFirstColumn="0" w:firstRowLastColumn="0" w:lastRowFirstColumn="0" w:lastRowLastColumn="0"/>
              <w:rPr>
                <w:sz w:val="20"/>
              </w:rPr>
            </w:pPr>
            <w:r w:rsidRPr="005224DA">
              <w:rPr>
                <w:sz w:val="20"/>
              </w:rPr>
              <w:t>Treated as negligible after two charger-DMAs</w:t>
            </w:r>
          </w:p>
        </w:tc>
      </w:tr>
      <w:tr w:rsidR="00222B16" w:rsidRPr="00835EDD" w14:paraId="171CDEC8" w14:textId="6163660C" w:rsidTr="00222B16">
        <w:trPr>
          <w:jc w:val="center"/>
        </w:trPr>
        <w:tc>
          <w:tcPr>
            <w:cnfStyle w:val="001000000000" w:firstRow="0" w:lastRow="0" w:firstColumn="1" w:lastColumn="0" w:oddVBand="0" w:evenVBand="0" w:oddHBand="0" w:evenHBand="0" w:firstRowFirstColumn="0" w:firstRowLastColumn="0" w:lastRowFirstColumn="0" w:lastRowLastColumn="0"/>
            <w:tcW w:w="709" w:type="pct"/>
          </w:tcPr>
          <w:p w14:paraId="4E3EF1A3" w14:textId="12A64F86" w:rsidR="00922ACD" w:rsidRPr="005224DA" w:rsidRDefault="00922ACD" w:rsidP="00FF059A">
            <w:pPr>
              <w:jc w:val="center"/>
              <w:rPr>
                <w:sz w:val="22"/>
              </w:rPr>
            </w:pPr>
            <w:proofErr w:type="spellStart"/>
            <w:r w:rsidRPr="005224DA">
              <w:rPr>
                <w:sz w:val="22"/>
              </w:rPr>
              <w:t>Dastanpour</w:t>
            </w:r>
            <w:proofErr w:type="spellEnd"/>
            <w:r w:rsidRPr="005224DA">
              <w:rPr>
                <w:sz w:val="22"/>
              </w:rPr>
              <w:t xml:space="preserve"> 2017 [24]</w:t>
            </w:r>
          </w:p>
        </w:tc>
        <w:tc>
          <w:tcPr>
            <w:tcW w:w="643" w:type="pct"/>
          </w:tcPr>
          <w:p w14:paraId="5FC8C8D0"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Highly charged (UDAC)</w:t>
            </w:r>
          </w:p>
        </w:tc>
        <w:tc>
          <w:tcPr>
            <w:tcW w:w="572" w:type="pct"/>
          </w:tcPr>
          <w:p w14:paraId="34CCC228"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CPMA</w:t>
            </w:r>
          </w:p>
        </w:tc>
        <w:tc>
          <w:tcPr>
            <w:tcW w:w="1315" w:type="pct"/>
          </w:tcPr>
          <w:p w14:paraId="120BDAE3"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 xml:space="preserve">Extinction-minus-scattering </w:t>
            </w:r>
          </w:p>
          <w:p w14:paraId="2E415645" w14:textId="6BD8EAD6"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(CAPS PM</w:t>
            </w:r>
            <w:r w:rsidRPr="005224DA">
              <w:rPr>
                <w:sz w:val="22"/>
                <w:vertAlign w:val="subscript"/>
              </w:rPr>
              <w:t>SSA</w:t>
            </w:r>
            <w:r w:rsidRPr="005224DA">
              <w:rPr>
                <w:sz w:val="22"/>
              </w:rPr>
              <w:t>)</w:t>
            </w:r>
          </w:p>
        </w:tc>
        <w:tc>
          <w:tcPr>
            <w:tcW w:w="760" w:type="pct"/>
          </w:tcPr>
          <w:p w14:paraId="1B975176"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CPMA–electrometer</w:t>
            </w:r>
          </w:p>
        </w:tc>
        <w:tc>
          <w:tcPr>
            <w:tcW w:w="1001" w:type="pct"/>
          </w:tcPr>
          <w:p w14:paraId="3D4EC129" w14:textId="34205747" w:rsidR="00922ACD" w:rsidRPr="005224DA" w:rsidRDefault="00922ACD" w:rsidP="00922ACD">
            <w:pPr>
              <w:jc w:val="center"/>
              <w:cnfStyle w:val="000000000000" w:firstRow="0" w:lastRow="0" w:firstColumn="0" w:lastColumn="0" w:oddVBand="0" w:evenVBand="0" w:oddHBand="0" w:evenHBand="0" w:firstRowFirstColumn="0" w:firstRowLastColumn="0" w:lastRowFirstColumn="0" w:lastRowLastColumn="0"/>
              <w:rPr>
                <w:sz w:val="20"/>
              </w:rPr>
            </w:pPr>
            <w:r w:rsidRPr="005224DA">
              <w:rPr>
                <w:sz w:val="20"/>
              </w:rPr>
              <w:t xml:space="preserve">Reference to downstream SMPS measurement </w:t>
            </w:r>
          </w:p>
        </w:tc>
      </w:tr>
      <w:tr w:rsidR="00222B16" w:rsidRPr="00835EDD" w14:paraId="39884787" w14:textId="115523D4" w:rsidTr="00222B16">
        <w:trPr>
          <w:jc w:val="center"/>
        </w:trPr>
        <w:tc>
          <w:tcPr>
            <w:cnfStyle w:val="001000000000" w:firstRow="0" w:lastRow="0" w:firstColumn="1" w:lastColumn="0" w:oddVBand="0" w:evenVBand="0" w:oddHBand="0" w:evenHBand="0" w:firstRowFirstColumn="0" w:firstRowLastColumn="0" w:lastRowFirstColumn="0" w:lastRowLastColumn="0"/>
            <w:tcW w:w="709" w:type="pct"/>
          </w:tcPr>
          <w:p w14:paraId="499B5A00" w14:textId="7AAA2185" w:rsidR="00922ACD" w:rsidRPr="005224DA" w:rsidRDefault="00922ACD" w:rsidP="00FF059A">
            <w:pPr>
              <w:jc w:val="center"/>
              <w:rPr>
                <w:sz w:val="22"/>
              </w:rPr>
            </w:pPr>
            <w:proofErr w:type="spellStart"/>
            <w:r w:rsidRPr="005224DA">
              <w:rPr>
                <w:sz w:val="22"/>
              </w:rPr>
              <w:t>Forestieri</w:t>
            </w:r>
            <w:proofErr w:type="spellEnd"/>
            <w:r w:rsidRPr="005224DA">
              <w:rPr>
                <w:sz w:val="22"/>
              </w:rPr>
              <w:t xml:space="preserve"> 2018 [25]</w:t>
            </w:r>
          </w:p>
        </w:tc>
        <w:tc>
          <w:tcPr>
            <w:tcW w:w="643" w:type="pct"/>
          </w:tcPr>
          <w:p w14:paraId="67D88671" w14:textId="41D769CB"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 xml:space="preserve">Equilibrium </w:t>
            </w:r>
            <w:r w:rsidR="00222B16" w:rsidRPr="005224DA">
              <w:rPr>
                <w:sz w:val="22"/>
              </w:rPr>
              <w:br/>
            </w:r>
            <w:r w:rsidRPr="005224DA">
              <w:rPr>
                <w:sz w:val="22"/>
              </w:rPr>
              <w:t>(X-ray)</w:t>
            </w:r>
          </w:p>
        </w:tc>
        <w:tc>
          <w:tcPr>
            <w:tcW w:w="572" w:type="pct"/>
          </w:tcPr>
          <w:p w14:paraId="78AA9216"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DMA and DMA–CPMA</w:t>
            </w:r>
          </w:p>
        </w:tc>
        <w:tc>
          <w:tcPr>
            <w:tcW w:w="1315" w:type="pct"/>
          </w:tcPr>
          <w:p w14:paraId="42B34B8E" w14:textId="711DA80C"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 xml:space="preserve">Photoacoustic (3 instruments) and  extinction-minus-scattering </w:t>
            </w:r>
            <w:r w:rsidRPr="005224DA">
              <w:rPr>
                <w:sz w:val="22"/>
              </w:rPr>
              <w:br/>
              <w:t>(CAPS PM</w:t>
            </w:r>
            <w:r w:rsidRPr="005224DA">
              <w:rPr>
                <w:sz w:val="22"/>
                <w:vertAlign w:val="subscript"/>
              </w:rPr>
              <w:t>SSA</w:t>
            </w:r>
            <w:r w:rsidRPr="005224DA">
              <w:rPr>
                <w:sz w:val="22"/>
              </w:rPr>
              <w:t>)</w:t>
            </w:r>
          </w:p>
        </w:tc>
        <w:tc>
          <w:tcPr>
            <w:tcW w:w="760" w:type="pct"/>
          </w:tcPr>
          <w:p w14:paraId="73666046"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vertAlign w:val="superscript"/>
              </w:rPr>
            </w:pPr>
            <w:r w:rsidRPr="005224DA">
              <w:rPr>
                <w:sz w:val="22"/>
              </w:rPr>
              <w:t>DMA–CPMA+CPC</w:t>
            </w:r>
          </w:p>
        </w:tc>
        <w:tc>
          <w:tcPr>
            <w:tcW w:w="1001" w:type="pct"/>
          </w:tcPr>
          <w:p w14:paraId="0A4C3F01" w14:textId="7DF1977A" w:rsidR="00922ACD" w:rsidRPr="005224DA" w:rsidRDefault="00222B16" w:rsidP="00222B16">
            <w:pPr>
              <w:jc w:val="center"/>
              <w:cnfStyle w:val="000000000000" w:firstRow="0" w:lastRow="0" w:firstColumn="0" w:lastColumn="0" w:oddVBand="0" w:evenVBand="0" w:oddHBand="0" w:evenHBand="0" w:firstRowFirstColumn="0" w:firstRowLastColumn="0" w:lastRowFirstColumn="0" w:lastRowLastColumn="0"/>
              <w:rPr>
                <w:sz w:val="20"/>
              </w:rPr>
            </w:pPr>
            <w:r w:rsidRPr="005224DA">
              <w:rPr>
                <w:sz w:val="20"/>
              </w:rPr>
              <w:t>Measurement of multiple charges by SMPS or single-particle soot photometer</w:t>
            </w:r>
          </w:p>
        </w:tc>
      </w:tr>
      <w:tr w:rsidR="00222B16" w:rsidRPr="00835EDD" w14:paraId="7E785F7F" w14:textId="2A19CBAD" w:rsidTr="00222B16">
        <w:trPr>
          <w:jc w:val="center"/>
        </w:trPr>
        <w:tc>
          <w:tcPr>
            <w:cnfStyle w:val="001000000000" w:firstRow="0" w:lastRow="0" w:firstColumn="1" w:lastColumn="0" w:oddVBand="0" w:evenVBand="0" w:oddHBand="0" w:evenHBand="0" w:firstRowFirstColumn="0" w:firstRowLastColumn="0" w:lastRowFirstColumn="0" w:lastRowLastColumn="0"/>
            <w:tcW w:w="709" w:type="pct"/>
          </w:tcPr>
          <w:p w14:paraId="3C2CE7AD" w14:textId="73DA0196" w:rsidR="00922ACD" w:rsidRPr="005224DA" w:rsidRDefault="00922ACD" w:rsidP="00FF059A">
            <w:pPr>
              <w:jc w:val="center"/>
              <w:rPr>
                <w:sz w:val="22"/>
              </w:rPr>
            </w:pPr>
            <w:proofErr w:type="spellStart"/>
            <w:r w:rsidRPr="005224DA">
              <w:rPr>
                <w:sz w:val="22"/>
              </w:rPr>
              <w:t>Kholghy</w:t>
            </w:r>
            <w:proofErr w:type="spellEnd"/>
            <w:r w:rsidRPr="005224DA">
              <w:rPr>
                <w:sz w:val="22"/>
              </w:rPr>
              <w:t xml:space="preserve"> and </w:t>
            </w:r>
            <w:proofErr w:type="spellStart"/>
            <w:r w:rsidRPr="005224DA">
              <w:rPr>
                <w:sz w:val="22"/>
              </w:rPr>
              <w:t>DeRosa</w:t>
            </w:r>
            <w:proofErr w:type="spellEnd"/>
            <w:r w:rsidRPr="005224DA">
              <w:rPr>
                <w:sz w:val="22"/>
              </w:rPr>
              <w:t xml:space="preserve"> 2020 [27]</w:t>
            </w:r>
          </w:p>
        </w:tc>
        <w:tc>
          <w:tcPr>
            <w:tcW w:w="643" w:type="pct"/>
          </w:tcPr>
          <w:p w14:paraId="21C0A553" w14:textId="10352F65"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 xml:space="preserve">Equilibrium </w:t>
            </w:r>
            <w:r w:rsidR="00222B16" w:rsidRPr="005224DA">
              <w:rPr>
                <w:sz w:val="22"/>
              </w:rPr>
              <w:br/>
            </w:r>
            <w:r w:rsidRPr="005224DA">
              <w:rPr>
                <w:sz w:val="22"/>
              </w:rPr>
              <w:t>(X-ray)</w:t>
            </w:r>
          </w:p>
        </w:tc>
        <w:tc>
          <w:tcPr>
            <w:tcW w:w="572" w:type="pct"/>
          </w:tcPr>
          <w:p w14:paraId="769333F2"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DMA</w:t>
            </w:r>
          </w:p>
        </w:tc>
        <w:tc>
          <w:tcPr>
            <w:tcW w:w="1315" w:type="pct"/>
          </w:tcPr>
          <w:p w14:paraId="083CC01B"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Photoacoustic (DMT PAX)</w:t>
            </w:r>
          </w:p>
        </w:tc>
        <w:tc>
          <w:tcPr>
            <w:tcW w:w="760" w:type="pct"/>
          </w:tcPr>
          <w:p w14:paraId="1DA28295" w14:textId="77777777" w:rsidR="00922ACD" w:rsidRPr="005224DA" w:rsidRDefault="00922ACD" w:rsidP="00FF059A">
            <w:pPr>
              <w:jc w:val="center"/>
              <w:cnfStyle w:val="000000000000" w:firstRow="0" w:lastRow="0" w:firstColumn="0" w:lastColumn="0" w:oddVBand="0" w:evenVBand="0" w:oddHBand="0" w:evenHBand="0" w:firstRowFirstColumn="0" w:firstRowLastColumn="0" w:lastRowFirstColumn="0" w:lastRowLastColumn="0"/>
              <w:rPr>
                <w:sz w:val="22"/>
              </w:rPr>
            </w:pPr>
            <w:r w:rsidRPr="005224DA">
              <w:rPr>
                <w:sz w:val="22"/>
              </w:rPr>
              <w:t>DMA–APM+CPC</w:t>
            </w:r>
          </w:p>
        </w:tc>
        <w:tc>
          <w:tcPr>
            <w:tcW w:w="1001" w:type="pct"/>
          </w:tcPr>
          <w:p w14:paraId="3AA77C2C" w14:textId="1963A1AA" w:rsidR="00922ACD" w:rsidRPr="005224DA" w:rsidRDefault="00222B16" w:rsidP="00FF059A">
            <w:pPr>
              <w:jc w:val="center"/>
              <w:cnfStyle w:val="000000000000" w:firstRow="0" w:lastRow="0" w:firstColumn="0" w:lastColumn="0" w:oddVBand="0" w:evenVBand="0" w:oddHBand="0" w:evenHBand="0" w:firstRowFirstColumn="0" w:firstRowLastColumn="0" w:lastRowFirstColumn="0" w:lastRowLastColumn="0"/>
              <w:rPr>
                <w:sz w:val="20"/>
              </w:rPr>
            </w:pPr>
            <w:r w:rsidRPr="005224DA">
              <w:rPr>
                <w:sz w:val="20"/>
              </w:rPr>
              <w:t>Treated as negligible</w:t>
            </w:r>
            <w:r w:rsidR="00A9738C" w:rsidRPr="005224DA">
              <w:rPr>
                <w:sz w:val="20"/>
              </w:rPr>
              <w:t xml:space="preserve"> after one charger-DMA</w:t>
            </w:r>
          </w:p>
        </w:tc>
      </w:tr>
    </w:tbl>
    <w:p w14:paraId="097F2886" w14:textId="15BF562F" w:rsidR="000D6EB3" w:rsidRPr="00AB20CB" w:rsidRDefault="000D6EB3" w:rsidP="00B72EDD">
      <w:pPr>
        <w:spacing w:line="240" w:lineRule="auto"/>
        <w:rPr>
          <w:lang w:val="en-CA"/>
        </w:rPr>
        <w:sectPr w:rsidR="000D6EB3" w:rsidRPr="00AB20CB" w:rsidSect="000D6EB3">
          <w:pgSz w:w="16840" w:h="11901" w:orient="landscape" w:code="9"/>
          <w:pgMar w:top="1701" w:right="1418" w:bottom="1701" w:left="1418" w:header="709" w:footer="709" w:gutter="0"/>
          <w:lnNumType w:countBy="1" w:restart="continuous"/>
          <w:cols w:space="708"/>
          <w:docGrid w:linePitch="360"/>
        </w:sectPr>
      </w:pPr>
    </w:p>
    <w:p w14:paraId="45B8FAAC" w14:textId="45788AA0" w:rsidR="00CF6438" w:rsidRPr="005224DA" w:rsidRDefault="000C22D4" w:rsidP="005224DA">
      <w:pPr>
        <w:pStyle w:val="Tabletitle"/>
        <w:rPr>
          <w:vertAlign w:val="subscript"/>
          <w:lang w:val="en-US"/>
        </w:rPr>
      </w:pPr>
      <w:bookmarkStart w:id="16" w:name="_Ref85725392"/>
      <w:r>
        <w:lastRenderedPageBreak/>
        <w:t>Table S</w:t>
      </w:r>
      <w:r w:rsidR="003E052F">
        <w:rPr>
          <w:noProof/>
        </w:rPr>
        <w:t>3</w:t>
      </w:r>
      <w:bookmarkEnd w:id="16"/>
      <w:r>
        <w:t xml:space="preserve">. </w:t>
      </w:r>
      <w:r w:rsidR="00CF6438">
        <w:t>Sensitivity of the iterative-average-</w:t>
      </w:r>
      <w:r w:rsidR="003B0325">
        <w:t xml:space="preserve">charge </w:t>
      </w:r>
      <w:r w:rsidR="007E0331">
        <w:t xml:space="preserve">calculation </w:t>
      </w:r>
      <w:r w:rsidR="00CF6438">
        <w:rPr>
          <w:lang w:val="en-US"/>
        </w:rPr>
        <w:t xml:space="preserve">to the input parameters. The third column shows the change in </w:t>
      </w: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p</m:t>
            </m:r>
          </m:sub>
        </m:sSub>
      </m:oMath>
      <w:r w:rsidR="00CF6438" w:rsidRPr="00CF6438">
        <w:rPr>
          <w:lang w:val="en-US"/>
        </w:rPr>
        <w:t xml:space="preserve"> following </w:t>
      </w:r>
      <w:r w:rsidR="00CF6438">
        <w:rPr>
          <w:lang w:val="en-US"/>
        </w:rPr>
        <w:t xml:space="preserve">a </w:t>
      </w:r>
      <w:r w:rsidR="00CF6438" w:rsidRPr="00CF6438">
        <w:rPr>
          <w:lang w:val="en-US"/>
        </w:rPr>
        <w:t>perturbation of the input parameters by 5%</w:t>
      </w:r>
      <w:r w:rsidR="00CF6438">
        <w:rPr>
          <w:lang w:val="en-US"/>
        </w:rPr>
        <w:t>.</w:t>
      </w:r>
      <w:r w:rsidR="00CF6438" w:rsidRPr="00CF6438">
        <w:rPr>
          <w:lang w:val="en-US"/>
        </w:rPr>
        <w:t xml:space="preserve"> </w:t>
      </w:r>
      <w:r w:rsidR="00CF6438">
        <w:rPr>
          <w:lang w:val="en-US"/>
        </w:rPr>
        <w:t>The fourth column shows r</w:t>
      </w:r>
      <w:r w:rsidR="00CF6438" w:rsidRPr="00CF6438">
        <w:rPr>
          <w:lang w:val="en-US"/>
        </w:rPr>
        <w:t>elative sensitivity coefficients (RSC</w:t>
      </w:r>
      <w:r w:rsidR="00CF6438">
        <w:rPr>
          <w:lang w:val="en-US"/>
        </w:rPr>
        <w:t>s</w:t>
      </w:r>
      <w:r w:rsidR="00CF6438" w:rsidRPr="00CF6438">
        <w:rPr>
          <w:lang w:val="en-US"/>
        </w:rPr>
        <w:t>)</w:t>
      </w:r>
      <w:r w:rsidR="00CF6438">
        <w:rPr>
          <w:lang w:val="en-US"/>
        </w:rPr>
        <w:t xml:space="preserve">, which are similar to the third column but </w:t>
      </w:r>
      <w:r w:rsidR="00CF6438" w:rsidRPr="00CF6438">
        <w:rPr>
          <w:lang w:val="en-US"/>
        </w:rPr>
        <w:t xml:space="preserve">normalized to give the percent change in the particle mass for a 1% increase in the input parameters. </w:t>
      </w:r>
      <w:r w:rsidR="00CF6438">
        <w:rPr>
          <w:lang w:val="en-US"/>
        </w:rPr>
        <w:t>A n</w:t>
      </w:r>
      <w:r w:rsidR="00CF6438" w:rsidRPr="00CF6438">
        <w:rPr>
          <w:lang w:val="en-US"/>
        </w:rPr>
        <w:t>egative RSCs indicate</w:t>
      </w:r>
      <w:r w:rsidR="00CF6438">
        <w:rPr>
          <w:lang w:val="en-US"/>
        </w:rPr>
        <w:t>s</w:t>
      </w:r>
      <w:r w:rsidR="00CF6438" w:rsidRPr="00CF6438">
        <w:rPr>
          <w:lang w:val="en-US"/>
        </w:rPr>
        <w:t xml:space="preserve"> a decrease </w:t>
      </w:r>
      <w:r w:rsidR="00CF6438">
        <w:rPr>
          <w:lang w:val="en-US"/>
        </w:rPr>
        <w:t xml:space="preserve">in </w:t>
      </w: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p</m:t>
            </m:r>
          </m:sub>
        </m:sSub>
      </m:oMath>
      <w:r w:rsidR="00CF6438">
        <w:rPr>
          <w:lang w:val="en-US"/>
        </w:rPr>
        <w:t xml:space="preserve"> for </w:t>
      </w:r>
      <w:r w:rsidR="00CF6438" w:rsidRPr="00CF6438">
        <w:rPr>
          <w:lang w:val="en-US"/>
        </w:rPr>
        <w:t xml:space="preserve">an increase in the given input parameter. </w:t>
      </w:r>
      <w:r w:rsidR="00025E44">
        <w:rPr>
          <w:lang w:val="en-US"/>
        </w:rPr>
        <w:t xml:space="preserve">For these calculations a UDAC </w:t>
      </w:r>
      <m:oMath>
        <m:sSub>
          <m:sSubPr>
            <m:ctrlPr>
              <w:rPr>
                <w:rFonts w:ascii="Cambria Math" w:hAnsi="Cambria Math"/>
                <w:i/>
                <w:lang w:val="en-US"/>
              </w:rPr>
            </m:ctrlPr>
          </m:sSubPr>
          <m:e>
            <m:r>
              <w:rPr>
                <w:rFonts w:ascii="Cambria Math" w:hAnsi="Cambria Math"/>
                <w:lang w:val="en-US"/>
              </w:rPr>
              <m:t>n</m:t>
            </m:r>
          </m:e>
          <m:sub>
            <m:r>
              <m:rPr>
                <m:sty m:val="p"/>
              </m:rPr>
              <w:rPr>
                <w:rFonts w:ascii="Cambria Math" w:hAnsi="Cambria Math" w:hint="eastAsia"/>
                <w:lang w:val="en-US"/>
              </w:rPr>
              <m:t>i</m:t>
            </m:r>
          </m:sub>
        </m:sSub>
        <m:r>
          <w:rPr>
            <w:rFonts w:ascii="Cambria Math" w:hAnsi="Cambria Math"/>
            <w:lang w:val="en-US"/>
          </w:rPr>
          <m:t>t</m:t>
        </m:r>
      </m:oMath>
      <w:r w:rsidR="00025E44">
        <w:rPr>
          <w:lang w:val="en-US"/>
        </w:rPr>
        <w:t xml:space="preserve"> of 10</w:t>
      </w:r>
      <w:r w:rsidR="00025E44">
        <w:rPr>
          <w:vertAlign w:val="superscript"/>
          <w:lang w:val="en-US"/>
        </w:rPr>
        <w:t>13</w:t>
      </w:r>
      <w:r w:rsidR="00025E44">
        <w:rPr>
          <w:lang w:val="en-US"/>
        </w:rPr>
        <w:t xml:space="preserve"> </w:t>
      </w:r>
      <w:proofErr w:type="spellStart"/>
      <w:r w:rsidR="00025E44">
        <w:rPr>
          <w:lang w:val="en-US"/>
        </w:rPr>
        <w:t>ion⋅s</w:t>
      </w:r>
      <w:proofErr w:type="spellEnd"/>
      <w:r w:rsidR="00025E44">
        <w:rPr>
          <w:lang w:val="en-US"/>
        </w:rPr>
        <w:t>/m</w:t>
      </w:r>
      <w:r w:rsidR="00025E44" w:rsidRPr="005224DA">
        <w:rPr>
          <w:vertAlign w:val="superscript"/>
          <w:lang w:val="en-US"/>
        </w:rPr>
        <w:t>3</w:t>
      </w:r>
      <w:r w:rsidR="00025E44">
        <w:rPr>
          <w:vertAlign w:val="subscript"/>
          <w:lang w:val="en-US"/>
        </w:rPr>
        <w:t xml:space="preserve"> </w:t>
      </w:r>
      <w:r w:rsidR="00025E44" w:rsidRPr="005224DA">
        <w:rPr>
          <w:lang w:val="en-US"/>
        </w:rPr>
        <w:t>was us</w:t>
      </w:r>
      <w:r w:rsidR="00025E44">
        <w:rPr>
          <w:lang w:val="en-US"/>
        </w:rPr>
        <w:t>e</w:t>
      </w:r>
      <w:r w:rsidR="00025E44" w:rsidRPr="005224DA">
        <w:rPr>
          <w:lang w:val="en-US"/>
        </w:rPr>
        <w:t>d.</w:t>
      </w:r>
    </w:p>
    <w:tbl>
      <w:tblPr>
        <w:tblStyle w:val="ListTable1Light"/>
        <w:tblW w:w="5000" w:type="pct"/>
        <w:tblLook w:val="06A0" w:firstRow="1" w:lastRow="0" w:firstColumn="1" w:lastColumn="0" w:noHBand="1" w:noVBand="1"/>
      </w:tblPr>
      <w:tblGrid>
        <w:gridCol w:w="862"/>
        <w:gridCol w:w="2257"/>
        <w:gridCol w:w="2410"/>
        <w:gridCol w:w="2970"/>
      </w:tblGrid>
      <w:tr w:rsidR="00B86C38" w:rsidRPr="00CF6438" w14:paraId="77F5195A" w14:textId="77777777" w:rsidTr="005224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 w:type="pct"/>
          </w:tcPr>
          <w:p w14:paraId="32B797BA" w14:textId="64A947F6" w:rsidR="00B86C38" w:rsidRPr="00CF6438" w:rsidRDefault="00B86C38" w:rsidP="00B86C38">
            <w:pPr>
              <w:rPr>
                <w:b w:val="0"/>
                <w:lang w:val="en-US"/>
              </w:rPr>
            </w:pPr>
            <w:r w:rsidRPr="00CF6438">
              <w:rPr>
                <w:iCs/>
                <w:lang w:val="en-US"/>
              </w:rPr>
              <w:t xml:space="preserve">CPMA </w:t>
            </w:r>
            <m:oMath>
              <m:r>
                <m:rPr>
                  <m:sty m:val="bi"/>
                </m:rPr>
                <w:rPr>
                  <w:rFonts w:ascii="Cambria Math" w:hAnsi="Cambria Math"/>
                  <w:lang w:val="en-US"/>
                </w:rPr>
                <m:t xml:space="preserve">m/q </m:t>
              </m:r>
            </m:oMath>
          </w:p>
        </w:tc>
        <w:tc>
          <w:tcPr>
            <w:tcW w:w="1328" w:type="pct"/>
          </w:tcPr>
          <w:p w14:paraId="484476BD" w14:textId="1527B404" w:rsidR="00B86C38" w:rsidRPr="00D158BE" w:rsidRDefault="00B86C38" w:rsidP="00B86C38">
            <w:pPr>
              <w:cnfStyle w:val="100000000000" w:firstRow="1" w:lastRow="0" w:firstColumn="0" w:lastColumn="0" w:oddVBand="0" w:evenVBand="0" w:oddHBand="0" w:evenHBand="0" w:firstRowFirstColumn="0" w:firstRowLastColumn="0" w:lastRowFirstColumn="0" w:lastRowLastColumn="0"/>
              <w:rPr>
                <w:vertAlign w:val="superscript"/>
                <w:lang w:val="en-US"/>
              </w:rPr>
            </w:pPr>
            <w:r w:rsidRPr="00CF6438">
              <w:rPr>
                <w:iCs/>
                <w:lang w:val="en-US"/>
              </w:rPr>
              <w:t>Input parameter</w:t>
            </w:r>
            <w:r>
              <w:rPr>
                <w:b w:val="0"/>
                <w:bCs w:val="0"/>
                <w:iCs/>
                <w:lang w:val="en-US"/>
              </w:rPr>
              <w:t xml:space="preserve">, </w:t>
            </w:r>
            <m:oMath>
              <m:r>
                <m:rPr>
                  <m:sty m:val="bi"/>
                </m:rPr>
                <w:rPr>
                  <w:rFonts w:ascii="Cambria Math" w:hAnsi="Cambria Math"/>
                  <w:lang w:val="en-US"/>
                </w:rPr>
                <m:t>x</m:t>
              </m:r>
            </m:oMath>
            <w:r w:rsidR="00D158BE">
              <w:rPr>
                <w:vertAlign w:val="superscript"/>
                <w:lang w:val="en-US"/>
              </w:rPr>
              <w:t>a</w:t>
            </w:r>
          </w:p>
        </w:tc>
        <w:tc>
          <w:tcPr>
            <w:tcW w:w="1418" w:type="pct"/>
          </w:tcPr>
          <w:p w14:paraId="058C0509" w14:textId="0D39D974" w:rsidR="00B86C38" w:rsidRPr="00CF6438" w:rsidRDefault="00B86C38" w:rsidP="00000642">
            <w:pPr>
              <w:cnfStyle w:val="100000000000" w:firstRow="1" w:lastRow="0" w:firstColumn="0" w:lastColumn="0" w:oddVBand="0" w:evenVBand="0" w:oddHBand="0" w:evenHBand="0" w:firstRowFirstColumn="0" w:firstRowLastColumn="0" w:lastRowFirstColumn="0" w:lastRowLastColumn="0"/>
              <w:rPr>
                <w:lang w:val="en-US"/>
              </w:rPr>
            </w:pPr>
            <m:oMath>
              <m:r>
                <m:rPr>
                  <m:sty m:val="b"/>
                </m:rPr>
                <w:rPr>
                  <w:rFonts w:ascii="Cambria Math" w:hAnsi="Cambria Math" w:hint="eastAsia"/>
                  <w:lang w:val="en-US"/>
                </w:rPr>
                <m:t>Δ</m:t>
              </m:r>
              <m:r>
                <m:rPr>
                  <m:sty m:val="bi"/>
                </m:rPr>
                <w:rPr>
                  <w:rFonts w:ascii="Cambria Math" w:hAnsi="Cambria Math" w:hint="eastAsia"/>
                  <w:lang w:val="en-US"/>
                </w:rPr>
                <m:t xml:space="preserve"> </m:t>
              </m:r>
              <m:sSub>
                <m:sSubPr>
                  <m:ctrlPr>
                    <w:rPr>
                      <w:rFonts w:ascii="Cambria Math" w:hAnsi="Cambria Math"/>
                      <w:b w:val="0"/>
                      <w:bCs w:val="0"/>
                      <w:i/>
                      <w:iCs/>
                      <w:lang w:val="en-US"/>
                    </w:rPr>
                  </m:ctrlPr>
                </m:sSubPr>
                <m:e>
                  <m:r>
                    <m:rPr>
                      <m:sty m:val="bi"/>
                    </m:rPr>
                    <w:rPr>
                      <w:rFonts w:ascii="Cambria Math" w:hAnsi="Cambria Math"/>
                      <w:lang w:val="en-US"/>
                    </w:rPr>
                    <m:t>m</m:t>
                  </m:r>
                </m:e>
                <m:sub>
                  <m:r>
                    <m:rPr>
                      <m:sty m:val="bi"/>
                    </m:rPr>
                    <w:rPr>
                      <w:rFonts w:ascii="Cambria Math" w:hAnsi="Cambria Math"/>
                      <w:lang w:val="en-US"/>
                    </w:rPr>
                    <m:t>p</m:t>
                  </m:r>
                </m:sub>
              </m:sSub>
            </m:oMath>
            <w:r w:rsidRPr="00CF6438">
              <w:rPr>
                <w:iCs/>
                <w:lang w:val="en-US"/>
              </w:rPr>
              <w:t xml:space="preserve"> [%]</w:t>
            </w:r>
            <w:r>
              <w:rPr>
                <w:b w:val="0"/>
                <w:iCs/>
                <w:lang w:val="en-US"/>
              </w:rPr>
              <w:t xml:space="preserve"> </w:t>
            </w:r>
            <w:r w:rsidRPr="00CF6438">
              <w:rPr>
                <w:iCs/>
                <w:lang w:val="en-US"/>
              </w:rPr>
              <w:t xml:space="preserve">for a </w:t>
            </w:r>
            <w:r>
              <w:rPr>
                <w:b w:val="0"/>
                <w:bCs w:val="0"/>
                <w:iCs/>
                <w:lang w:val="en-US"/>
              </w:rPr>
              <w:br/>
            </w:r>
            <w:r w:rsidRPr="00CF6438">
              <w:rPr>
                <w:iCs/>
                <w:lang w:val="en-US"/>
              </w:rPr>
              <w:t>+</w:t>
            </w:r>
            <w:r>
              <w:rPr>
                <w:b w:val="0"/>
                <w:bCs w:val="0"/>
                <w:iCs/>
                <w:lang w:val="en-US"/>
              </w:rPr>
              <w:t>/</w:t>
            </w:r>
            <w:r w:rsidR="00000642">
              <w:rPr>
                <w:b w:val="0"/>
                <w:bCs w:val="0"/>
                <w:iCs/>
                <w:lang w:val="en-US"/>
              </w:rPr>
              <w:t>/</w:t>
            </w:r>
            <w:r>
              <w:rPr>
                <w:lang w:val="en-US"/>
              </w:rPr>
              <w:t>–</w:t>
            </w:r>
            <w:r w:rsidRPr="00CF6438">
              <w:rPr>
                <w:iCs/>
                <w:lang w:val="en-US"/>
              </w:rPr>
              <w:t xml:space="preserve">5% change in </w:t>
            </w:r>
            <m:oMath>
              <m:r>
                <m:rPr>
                  <m:sty m:val="bi"/>
                </m:rPr>
                <w:rPr>
                  <w:rFonts w:ascii="Cambria Math" w:hAnsi="Cambria Math"/>
                  <w:lang w:val="en-US"/>
                </w:rPr>
                <m:t>x</m:t>
              </m:r>
            </m:oMath>
          </w:p>
        </w:tc>
        <w:tc>
          <w:tcPr>
            <w:tcW w:w="1747" w:type="pct"/>
          </w:tcPr>
          <w:p w14:paraId="67A9CB9C" w14:textId="6257CC45" w:rsidR="00B86C38" w:rsidRDefault="00B86C38" w:rsidP="00B86C38">
            <w:pPr>
              <w:ind w:right="594"/>
              <w:jc w:val="right"/>
              <w:cnfStyle w:val="100000000000" w:firstRow="1" w:lastRow="0" w:firstColumn="0" w:lastColumn="0" w:oddVBand="0" w:evenVBand="0" w:oddHBand="0" w:evenHBand="0" w:firstRowFirstColumn="0" w:firstRowLastColumn="0" w:lastRowFirstColumn="0" w:lastRowLastColumn="0"/>
              <w:rPr>
                <w:lang w:val="en-US"/>
              </w:rPr>
            </w:pPr>
            <w:r w:rsidRPr="00CF6438">
              <w:rPr>
                <w:iCs/>
                <w:lang w:val="en-US"/>
              </w:rPr>
              <w:t>RSC (</w:t>
            </w:r>
            <m:oMath>
              <m:r>
                <m:rPr>
                  <m:sty m:val="b"/>
                </m:rPr>
                <w:rPr>
                  <w:rFonts w:ascii="Cambria Math" w:hAnsi="Cambria Math" w:hint="eastAsia"/>
                  <w:lang w:val="en-US"/>
                </w:rPr>
                <m:t>Δ</m:t>
              </m:r>
              <m:sSub>
                <m:sSubPr>
                  <m:ctrlPr>
                    <w:rPr>
                      <w:rFonts w:ascii="Cambria Math" w:hAnsi="Cambria Math"/>
                      <w:b w:val="0"/>
                      <w:bCs w:val="0"/>
                      <w:i/>
                      <w:iCs/>
                      <w:lang w:val="en-US"/>
                    </w:rPr>
                  </m:ctrlPr>
                </m:sSubPr>
                <m:e>
                  <m:r>
                    <m:rPr>
                      <m:sty m:val="bi"/>
                    </m:rPr>
                    <w:rPr>
                      <w:rFonts w:ascii="Cambria Math" w:hAnsi="Cambria Math"/>
                      <w:lang w:val="en-US"/>
                    </w:rPr>
                    <m:t>m</m:t>
                  </m:r>
                </m:e>
                <m:sub>
                  <m:r>
                    <m:rPr>
                      <m:sty m:val="b"/>
                    </m:rPr>
                    <w:rPr>
                      <w:rFonts w:ascii="Cambria Math" w:hAnsi="Cambria Math" w:hint="eastAsia"/>
                      <w:lang w:val="en-US"/>
                    </w:rPr>
                    <m:t>p</m:t>
                  </m:r>
                </m:sub>
              </m:sSub>
            </m:oMath>
            <w:r w:rsidRPr="00CF6438">
              <w:rPr>
                <w:iCs/>
                <w:lang w:val="en-US"/>
              </w:rPr>
              <w:t xml:space="preserve"> [%] for a +1% change in</w:t>
            </w:r>
            <w:r>
              <w:rPr>
                <w:b w:val="0"/>
                <w:bCs w:val="0"/>
                <w:iCs/>
                <w:lang w:val="en-US"/>
              </w:rPr>
              <w:t xml:space="preserve"> </w:t>
            </w:r>
            <m:oMath>
              <m:r>
                <m:rPr>
                  <m:sty m:val="bi"/>
                </m:rPr>
                <w:rPr>
                  <w:rFonts w:ascii="Cambria Math" w:hAnsi="Cambria Math"/>
                  <w:lang w:val="en-US"/>
                </w:rPr>
                <m:t>x</m:t>
              </m:r>
            </m:oMath>
            <w:r w:rsidRPr="00CF6438">
              <w:rPr>
                <w:iCs/>
                <w:lang w:val="en-US"/>
              </w:rPr>
              <w:t>)</w:t>
            </w:r>
          </w:p>
        </w:tc>
      </w:tr>
      <w:tr w:rsidR="00CF6438" w:rsidRPr="00CF6438" w14:paraId="4ED9553C"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056AA85D" w14:textId="77777777" w:rsidR="00CF6438" w:rsidRPr="00CF6438" w:rsidRDefault="00CF6438" w:rsidP="00CF6438">
            <w:pPr>
              <w:rPr>
                <w:b w:val="0"/>
                <w:lang w:val="en-US"/>
              </w:rPr>
            </w:pPr>
            <w:r w:rsidRPr="00CF6438">
              <w:rPr>
                <w:b w:val="0"/>
                <w:lang w:val="en-US"/>
              </w:rPr>
              <w:t xml:space="preserve">0.1 </w:t>
            </w:r>
            <w:proofErr w:type="spellStart"/>
            <w:r w:rsidRPr="00CF6438">
              <w:rPr>
                <w:b w:val="0"/>
                <w:lang w:val="en-US"/>
              </w:rPr>
              <w:t>fg</w:t>
            </w:r>
            <w:proofErr w:type="spellEnd"/>
          </w:p>
        </w:tc>
        <w:tc>
          <w:tcPr>
            <w:tcW w:w="1328" w:type="pct"/>
          </w:tcPr>
          <w:p w14:paraId="67C9AEB5" w14:textId="77777777" w:rsidR="00CF6438" w:rsidRPr="007E0331" w:rsidRDefault="00CF6438" w:rsidP="00CF6438">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w:r w:rsidRPr="007E0331">
              <w:rPr>
                <w:rFonts w:ascii="Cambria Math" w:hAnsi="Cambria Math"/>
                <w:i/>
                <w:lang w:val="en-US"/>
              </w:rPr>
              <w:t>ρ</w:t>
            </w:r>
            <w:r w:rsidRPr="007E0331">
              <w:rPr>
                <w:rFonts w:ascii="Cambria Math" w:hAnsi="Cambria Math"/>
                <w:vertAlign w:val="subscript"/>
                <w:lang w:val="en-US"/>
              </w:rPr>
              <w:t>eff,100</w:t>
            </w:r>
          </w:p>
        </w:tc>
        <w:tc>
          <w:tcPr>
            <w:tcW w:w="1418" w:type="pct"/>
          </w:tcPr>
          <w:p w14:paraId="3F403510" w14:textId="0DB7F9A5" w:rsidR="00CF6438" w:rsidRPr="00CF6438" w:rsidRDefault="00CF6438" w:rsidP="00E52362">
            <w:pPr>
              <w:jc w:val="center"/>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+3.</w:t>
            </w:r>
            <w:r w:rsidR="00E52362">
              <w:rPr>
                <w:lang w:val="en-US"/>
              </w:rPr>
              <w:t>6</w:t>
            </w:r>
            <w:r w:rsidRPr="00CF6438">
              <w:rPr>
                <w:lang w:val="en-US"/>
              </w:rPr>
              <w:t xml:space="preserve"> / </w:t>
            </w:r>
            <w:r>
              <w:rPr>
                <w:lang w:val="en-US"/>
              </w:rPr>
              <w:t>–</w:t>
            </w:r>
            <w:r w:rsidRPr="00CF6438">
              <w:rPr>
                <w:lang w:val="en-US"/>
              </w:rPr>
              <w:t>3.</w:t>
            </w:r>
            <w:r w:rsidR="00E52362">
              <w:rPr>
                <w:lang w:val="en-US"/>
              </w:rPr>
              <w:t>3</w:t>
            </w:r>
          </w:p>
        </w:tc>
        <w:tc>
          <w:tcPr>
            <w:tcW w:w="1747" w:type="pct"/>
          </w:tcPr>
          <w:p w14:paraId="1D408274" w14:textId="648F42B7" w:rsidR="00CF6438" w:rsidRPr="00CF6438" w:rsidRDefault="00CF6438" w:rsidP="00A75A59">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1.38</w:t>
            </w:r>
          </w:p>
        </w:tc>
      </w:tr>
      <w:tr w:rsidR="00CF6438" w:rsidRPr="00CF6438" w14:paraId="67CEC48E"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02A7C860" w14:textId="77777777" w:rsidR="00CF6438" w:rsidRPr="00CF6438" w:rsidRDefault="00CF6438" w:rsidP="00CF6438">
            <w:pPr>
              <w:rPr>
                <w:b w:val="0"/>
                <w:lang w:val="en-US"/>
              </w:rPr>
            </w:pPr>
          </w:p>
        </w:tc>
        <w:tc>
          <w:tcPr>
            <w:tcW w:w="1328" w:type="pct"/>
          </w:tcPr>
          <w:p w14:paraId="79BEBBBA" w14:textId="7BB77B34" w:rsidR="00CF6438" w:rsidRPr="007E0331" w:rsidRDefault="007E0331" w:rsidP="00CF6438">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m:oMath>
              <m:r>
                <w:rPr>
                  <w:rFonts w:ascii="Cambria Math" w:hAnsi="Cambria Math"/>
                </w:rPr>
                <m:t>ε</m:t>
              </m:r>
            </m:oMath>
            <w:r>
              <w:rPr>
                <w:rFonts w:ascii="Cambria Math" w:hAnsi="Cambria Math"/>
              </w:rPr>
              <w:t xml:space="preserve"> </w:t>
            </w:r>
          </w:p>
        </w:tc>
        <w:tc>
          <w:tcPr>
            <w:tcW w:w="1418" w:type="pct"/>
          </w:tcPr>
          <w:p w14:paraId="2534B8E6" w14:textId="59B73D15" w:rsidR="00CF6438" w:rsidRPr="00CF6438" w:rsidRDefault="00E52362" w:rsidP="00E52362">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+2.6</w:t>
            </w:r>
            <w:r w:rsidR="00CF6438" w:rsidRPr="00CF6438">
              <w:rPr>
                <w:lang w:val="en-US"/>
              </w:rPr>
              <w:t xml:space="preserve"> / </w:t>
            </w:r>
            <w:r w:rsidR="00CF6438">
              <w:rPr>
                <w:lang w:val="en-US"/>
              </w:rPr>
              <w:t>–</w:t>
            </w:r>
            <w:r>
              <w:rPr>
                <w:lang w:val="en-US"/>
              </w:rPr>
              <w:t>2.1</w:t>
            </w:r>
          </w:p>
        </w:tc>
        <w:tc>
          <w:tcPr>
            <w:tcW w:w="1747" w:type="pct"/>
          </w:tcPr>
          <w:p w14:paraId="72A6105D" w14:textId="66FF4FE7" w:rsidR="00CF6438" w:rsidRPr="00CF6438" w:rsidRDefault="00CF6438" w:rsidP="00A75A59">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0.95</w:t>
            </w:r>
          </w:p>
        </w:tc>
      </w:tr>
      <w:tr w:rsidR="00F022A1" w:rsidRPr="00CF6438" w14:paraId="4B87E7D1" w14:textId="77777777" w:rsidTr="00F022A1">
        <w:tc>
          <w:tcPr>
            <w:cnfStyle w:val="001000000000" w:firstRow="0" w:lastRow="0" w:firstColumn="1" w:lastColumn="0" w:oddVBand="0" w:evenVBand="0" w:oddHBand="0" w:evenHBand="0" w:firstRowFirstColumn="0" w:firstRowLastColumn="0" w:lastRowFirstColumn="0" w:lastRowLastColumn="0"/>
            <w:tcW w:w="507" w:type="pct"/>
          </w:tcPr>
          <w:p w14:paraId="025776B2" w14:textId="77777777" w:rsidR="00F022A1" w:rsidRPr="00CF6438" w:rsidRDefault="00F022A1" w:rsidP="00F022A1">
            <w:pPr>
              <w:rPr>
                <w:b w:val="0"/>
                <w:lang w:val="en-US"/>
              </w:rPr>
            </w:pPr>
          </w:p>
        </w:tc>
        <w:tc>
          <w:tcPr>
            <w:tcW w:w="1328" w:type="pct"/>
          </w:tcPr>
          <w:p w14:paraId="70714ED9" w14:textId="66D51271"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m:oMath>
              <m:r>
                <w:rPr>
                  <w:rFonts w:ascii="Cambria Math" w:hAnsi="Cambria Math"/>
                  <w:lang w:val="en-US"/>
                </w:rPr>
                <m:t>κ</m:t>
              </m:r>
            </m:oMath>
            <w:r>
              <w:rPr>
                <w:rFonts w:ascii="Cambria Math" w:hAnsi="Cambria Math"/>
                <w:iCs/>
                <w:lang w:val="en-US"/>
              </w:rPr>
              <w:t xml:space="preserve"> </w:t>
            </w:r>
          </w:p>
        </w:tc>
        <w:tc>
          <w:tcPr>
            <w:tcW w:w="1418" w:type="pct"/>
          </w:tcPr>
          <w:p w14:paraId="45EABFEA" w14:textId="12C37A44"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m:oMathPara>
              <m:oMath>
                <m:r>
                  <w:rPr>
                    <w:rFonts w:ascii="Cambria Math" w:hAnsi="Cambria Math"/>
                    <w:lang w:val="en-US"/>
                  </w:rPr>
                  <m:t>-0.2 / +0.2</m:t>
                </m:r>
              </m:oMath>
            </m:oMathPara>
          </w:p>
        </w:tc>
        <w:tc>
          <w:tcPr>
            <w:tcW w:w="1747" w:type="pct"/>
          </w:tcPr>
          <w:p w14:paraId="59D13FC2" w14:textId="31CEF782"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m:oMath>
              <m:r>
                <w:rPr>
                  <w:rFonts w:ascii="Cambria Math" w:hAnsi="Cambria Math"/>
                  <w:lang w:val="en-US"/>
                </w:rPr>
                <m:t>+0.07</m:t>
              </m:r>
            </m:oMath>
            <w:r>
              <w:rPr>
                <w:lang w:val="en-US"/>
              </w:rPr>
              <w:t xml:space="preserve"> </w:t>
            </w:r>
          </w:p>
        </w:tc>
      </w:tr>
      <w:tr w:rsidR="00F022A1" w:rsidRPr="00CF6438" w14:paraId="134D6B47" w14:textId="77777777" w:rsidTr="00E25A32">
        <w:tc>
          <w:tcPr>
            <w:cnfStyle w:val="001000000000" w:firstRow="0" w:lastRow="0" w:firstColumn="1" w:lastColumn="0" w:oddVBand="0" w:evenVBand="0" w:oddHBand="0" w:evenHBand="0" w:firstRowFirstColumn="0" w:firstRowLastColumn="0" w:lastRowFirstColumn="0" w:lastRowLastColumn="0"/>
            <w:tcW w:w="507" w:type="pct"/>
          </w:tcPr>
          <w:p w14:paraId="1F8D54B4" w14:textId="77777777" w:rsidR="00F022A1" w:rsidRPr="00CF6438" w:rsidRDefault="00F022A1" w:rsidP="00F022A1">
            <w:pPr>
              <w:rPr>
                <w:b w:val="0"/>
                <w:lang w:val="en-US"/>
              </w:rPr>
            </w:pPr>
          </w:p>
        </w:tc>
        <w:tc>
          <w:tcPr>
            <w:tcW w:w="1328" w:type="pct"/>
          </w:tcPr>
          <w:p w14:paraId="0BF72F26" w14:textId="12944E12"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i/>
                <w:iCs/>
                <w:lang w:val="en-US"/>
              </w:rPr>
            </w:pPr>
            <w:r w:rsidRPr="007E0331">
              <w:rPr>
                <w:rFonts w:ascii="Cambria Math" w:hAnsi="Cambria Math"/>
                <w:i/>
                <w:iCs/>
                <w:lang w:val="en-US"/>
              </w:rPr>
              <w:t>n</w:t>
            </w:r>
            <w:r w:rsidRPr="007E0331">
              <w:rPr>
                <w:rFonts w:ascii="Cambria Math" w:hAnsi="Cambria Math"/>
                <w:i/>
                <w:iCs/>
                <w:vertAlign w:val="subscript"/>
                <w:lang w:val="en-US"/>
              </w:rPr>
              <w:t>i</w:t>
            </w:r>
            <w:r w:rsidRPr="007E0331">
              <w:rPr>
                <w:rFonts w:ascii="Cambria Math" w:hAnsi="Cambria Math"/>
                <w:i/>
                <w:iCs/>
                <w:lang w:val="en-US"/>
              </w:rPr>
              <w:t>t</w:t>
            </w:r>
          </w:p>
        </w:tc>
        <w:tc>
          <w:tcPr>
            <w:tcW w:w="1418" w:type="pct"/>
          </w:tcPr>
          <w:p w14:paraId="24D8694C" w14:textId="5E83CBD3" w:rsidR="00F022A1"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3.0 / +2.4</w:t>
            </w:r>
          </w:p>
        </w:tc>
        <w:tc>
          <w:tcPr>
            <w:tcW w:w="1747" w:type="pct"/>
          </w:tcPr>
          <w:p w14:paraId="1D4C4DB2" w14:textId="012F3BD7" w:rsidR="00F022A1"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1.09</w:t>
            </w:r>
          </w:p>
        </w:tc>
      </w:tr>
      <w:tr w:rsidR="00F022A1" w:rsidRPr="00CF6438" w14:paraId="7B03D565" w14:textId="77777777" w:rsidTr="00F022A1">
        <w:tc>
          <w:tcPr>
            <w:cnfStyle w:val="001000000000" w:firstRow="0" w:lastRow="0" w:firstColumn="1" w:lastColumn="0" w:oddVBand="0" w:evenVBand="0" w:oddHBand="0" w:evenHBand="0" w:firstRowFirstColumn="0" w:firstRowLastColumn="0" w:lastRowFirstColumn="0" w:lastRowLastColumn="0"/>
            <w:tcW w:w="507" w:type="pct"/>
          </w:tcPr>
          <w:p w14:paraId="37D51DCF" w14:textId="77777777" w:rsidR="00F022A1" w:rsidRPr="00CF6438" w:rsidRDefault="00F022A1" w:rsidP="00F022A1">
            <w:pPr>
              <w:rPr>
                <w:b w:val="0"/>
                <w:lang w:val="en-US"/>
              </w:rPr>
            </w:pPr>
            <w:r w:rsidRPr="00CF6438">
              <w:rPr>
                <w:b w:val="0"/>
                <w:lang w:val="en-US"/>
              </w:rPr>
              <w:t xml:space="preserve">1 </w:t>
            </w:r>
            <w:proofErr w:type="spellStart"/>
            <w:r w:rsidRPr="00CF6438">
              <w:rPr>
                <w:b w:val="0"/>
                <w:lang w:val="en-US"/>
              </w:rPr>
              <w:t>fg</w:t>
            </w:r>
            <w:proofErr w:type="spellEnd"/>
          </w:p>
        </w:tc>
        <w:tc>
          <w:tcPr>
            <w:tcW w:w="1328" w:type="pct"/>
            <w:tcBorders>
              <w:top w:val="single" w:sz="4" w:space="0" w:color="auto"/>
            </w:tcBorders>
          </w:tcPr>
          <w:p w14:paraId="05E562B9" w14:textId="77777777"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w:r w:rsidRPr="007E0331">
              <w:rPr>
                <w:rFonts w:ascii="Cambria Math" w:hAnsi="Cambria Math"/>
                <w:i/>
                <w:lang w:val="en-US"/>
              </w:rPr>
              <w:t>ρ</w:t>
            </w:r>
            <w:r w:rsidRPr="007E0331">
              <w:rPr>
                <w:rFonts w:ascii="Cambria Math" w:hAnsi="Cambria Math"/>
                <w:vertAlign w:val="subscript"/>
                <w:lang w:val="en-US"/>
              </w:rPr>
              <w:t>eff,100</w:t>
            </w:r>
          </w:p>
        </w:tc>
        <w:tc>
          <w:tcPr>
            <w:tcW w:w="1418" w:type="pct"/>
            <w:tcBorders>
              <w:top w:val="single" w:sz="4" w:space="0" w:color="auto"/>
            </w:tcBorders>
          </w:tcPr>
          <w:p w14:paraId="4C09027D" w14:textId="2C9230B0"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 xml:space="preserve">+3.5 / </w:t>
            </w:r>
            <w:r>
              <w:rPr>
                <w:lang w:val="en-US"/>
              </w:rPr>
              <w:t>–</w:t>
            </w:r>
            <w:r w:rsidRPr="00CF6438">
              <w:rPr>
                <w:lang w:val="en-US"/>
              </w:rPr>
              <w:t>3.</w:t>
            </w:r>
            <w:r>
              <w:rPr>
                <w:lang w:val="en-US"/>
              </w:rPr>
              <w:t>3</w:t>
            </w:r>
          </w:p>
        </w:tc>
        <w:tc>
          <w:tcPr>
            <w:tcW w:w="1747" w:type="pct"/>
            <w:tcBorders>
              <w:top w:val="single" w:sz="4" w:space="0" w:color="auto"/>
            </w:tcBorders>
          </w:tcPr>
          <w:p w14:paraId="10B1407E" w14:textId="4D00B774"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1.36</w:t>
            </w:r>
          </w:p>
        </w:tc>
      </w:tr>
      <w:tr w:rsidR="00F022A1" w:rsidRPr="00CF6438" w14:paraId="52D5A6CF"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5D1E89A9" w14:textId="77777777" w:rsidR="00F022A1" w:rsidRPr="00CF6438" w:rsidRDefault="00F022A1" w:rsidP="00F022A1">
            <w:pPr>
              <w:rPr>
                <w:b w:val="0"/>
                <w:lang w:val="en-US"/>
              </w:rPr>
            </w:pPr>
          </w:p>
        </w:tc>
        <w:tc>
          <w:tcPr>
            <w:tcW w:w="1328" w:type="pct"/>
          </w:tcPr>
          <w:p w14:paraId="77940FE7" w14:textId="2DF9C59E"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m:oMath>
              <m:r>
                <w:rPr>
                  <w:rFonts w:ascii="Cambria Math" w:hAnsi="Cambria Math"/>
                </w:rPr>
                <m:t>ε</m:t>
              </m:r>
            </m:oMath>
            <w:r>
              <w:rPr>
                <w:rFonts w:ascii="Cambria Math" w:hAnsi="Cambria Math"/>
              </w:rPr>
              <w:t xml:space="preserve"> </w:t>
            </w:r>
          </w:p>
        </w:tc>
        <w:tc>
          <w:tcPr>
            <w:tcW w:w="1418" w:type="pct"/>
          </w:tcPr>
          <w:p w14:paraId="06330642" w14:textId="7E024A20"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 xml:space="preserve">+18 / </w:t>
            </w:r>
            <w:r>
              <w:rPr>
                <w:lang w:val="en-US"/>
              </w:rPr>
              <w:t>–</w:t>
            </w:r>
            <w:r w:rsidRPr="00CF6438">
              <w:rPr>
                <w:lang w:val="en-US"/>
              </w:rPr>
              <w:t>13</w:t>
            </w:r>
          </w:p>
        </w:tc>
        <w:tc>
          <w:tcPr>
            <w:tcW w:w="1747" w:type="pct"/>
          </w:tcPr>
          <w:p w14:paraId="6E83D6D5" w14:textId="2F8AAC44"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6.36</w:t>
            </w:r>
          </w:p>
        </w:tc>
      </w:tr>
      <w:tr w:rsidR="00F022A1" w:rsidRPr="00CF6438" w14:paraId="0111C456" w14:textId="77777777" w:rsidTr="00F022A1">
        <w:tc>
          <w:tcPr>
            <w:cnfStyle w:val="001000000000" w:firstRow="0" w:lastRow="0" w:firstColumn="1" w:lastColumn="0" w:oddVBand="0" w:evenVBand="0" w:oddHBand="0" w:evenHBand="0" w:firstRowFirstColumn="0" w:firstRowLastColumn="0" w:lastRowFirstColumn="0" w:lastRowLastColumn="0"/>
            <w:tcW w:w="507" w:type="pct"/>
          </w:tcPr>
          <w:p w14:paraId="5ADF3DB6" w14:textId="77777777" w:rsidR="00F022A1" w:rsidRPr="00CF6438" w:rsidRDefault="00F022A1" w:rsidP="00F022A1">
            <w:pPr>
              <w:rPr>
                <w:b w:val="0"/>
                <w:lang w:val="en-US"/>
              </w:rPr>
            </w:pPr>
          </w:p>
        </w:tc>
        <w:tc>
          <w:tcPr>
            <w:tcW w:w="1328" w:type="pct"/>
          </w:tcPr>
          <w:p w14:paraId="414F67FA" w14:textId="356002C9"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i/>
                <w:iCs/>
                <w:lang w:val="en-US"/>
              </w:rPr>
            </w:pPr>
            <m:oMath>
              <m:r>
                <w:rPr>
                  <w:rFonts w:ascii="Cambria Math" w:hAnsi="Cambria Math"/>
                  <w:lang w:val="en-US"/>
                </w:rPr>
                <m:t>κ</m:t>
              </m:r>
            </m:oMath>
            <w:r>
              <w:rPr>
                <w:rFonts w:ascii="Cambria Math" w:hAnsi="Cambria Math"/>
                <w:i/>
                <w:iCs/>
                <w:lang w:val="en-US"/>
              </w:rPr>
              <w:t xml:space="preserve"> </w:t>
            </w:r>
          </w:p>
        </w:tc>
        <w:tc>
          <w:tcPr>
            <w:tcW w:w="1418" w:type="pct"/>
          </w:tcPr>
          <w:p w14:paraId="1E54BB23" w14:textId="460B3845" w:rsidR="00F022A1"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m:oMathPara>
              <m:oMath>
                <m:r>
                  <w:rPr>
                    <w:rFonts w:ascii="Cambria Math" w:hAnsi="Cambria Math"/>
                    <w:lang w:val="en-US"/>
                  </w:rPr>
                  <m:t>-0.1 / +0.1</m:t>
                </m:r>
              </m:oMath>
            </m:oMathPara>
          </w:p>
        </w:tc>
        <w:tc>
          <w:tcPr>
            <w:tcW w:w="1747" w:type="pct"/>
          </w:tcPr>
          <w:p w14:paraId="339BF4F9" w14:textId="711FB241" w:rsidR="00F022A1" w:rsidRPr="00A75A59"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m:oMathPara>
              <m:oMathParaPr>
                <m:jc m:val="right"/>
              </m:oMathParaPr>
              <m:oMath>
                <m:r>
                  <w:rPr>
                    <w:rFonts w:ascii="Cambria Math" w:hAnsi="Cambria Math"/>
                    <w:lang w:val="en-US"/>
                  </w:rPr>
                  <m:t>+0.04</m:t>
                </m:r>
              </m:oMath>
            </m:oMathPara>
          </w:p>
        </w:tc>
      </w:tr>
      <w:tr w:rsidR="00F022A1" w:rsidRPr="00CF6438" w14:paraId="24736326" w14:textId="77777777" w:rsidTr="00F022A1">
        <w:tc>
          <w:tcPr>
            <w:cnfStyle w:val="001000000000" w:firstRow="0" w:lastRow="0" w:firstColumn="1" w:lastColumn="0" w:oddVBand="0" w:evenVBand="0" w:oddHBand="0" w:evenHBand="0" w:firstRowFirstColumn="0" w:firstRowLastColumn="0" w:lastRowFirstColumn="0" w:lastRowLastColumn="0"/>
            <w:tcW w:w="507" w:type="pct"/>
          </w:tcPr>
          <w:p w14:paraId="696D2FBC" w14:textId="77777777" w:rsidR="00F022A1" w:rsidRPr="00CF6438" w:rsidRDefault="00F022A1" w:rsidP="00F022A1">
            <w:pPr>
              <w:rPr>
                <w:b w:val="0"/>
                <w:lang w:val="en-US"/>
              </w:rPr>
            </w:pPr>
          </w:p>
        </w:tc>
        <w:tc>
          <w:tcPr>
            <w:tcW w:w="1328" w:type="pct"/>
            <w:tcBorders>
              <w:bottom w:val="single" w:sz="4" w:space="0" w:color="auto"/>
            </w:tcBorders>
          </w:tcPr>
          <w:p w14:paraId="1CCD25A7" w14:textId="77777777"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w:r w:rsidRPr="007E0331">
              <w:rPr>
                <w:rFonts w:ascii="Cambria Math" w:hAnsi="Cambria Math"/>
                <w:i/>
                <w:iCs/>
                <w:lang w:val="en-US"/>
              </w:rPr>
              <w:t>n</w:t>
            </w:r>
            <w:r w:rsidRPr="007E0331">
              <w:rPr>
                <w:rFonts w:ascii="Cambria Math" w:hAnsi="Cambria Math"/>
                <w:i/>
                <w:iCs/>
                <w:vertAlign w:val="subscript"/>
                <w:lang w:val="en-US"/>
              </w:rPr>
              <w:t>i</w:t>
            </w:r>
            <w:r w:rsidRPr="007E0331">
              <w:rPr>
                <w:rFonts w:ascii="Cambria Math" w:hAnsi="Cambria Math"/>
                <w:i/>
                <w:iCs/>
                <w:lang w:val="en-US"/>
              </w:rPr>
              <w:t>t</w:t>
            </w:r>
          </w:p>
        </w:tc>
        <w:tc>
          <w:tcPr>
            <w:tcW w:w="1418" w:type="pct"/>
            <w:tcBorders>
              <w:bottom w:val="single" w:sz="4" w:space="0" w:color="auto"/>
            </w:tcBorders>
          </w:tcPr>
          <w:p w14:paraId="052A2FCB" w14:textId="68B54C78"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2.9 / +2.3</w:t>
            </w:r>
          </w:p>
        </w:tc>
        <w:tc>
          <w:tcPr>
            <w:tcW w:w="1747" w:type="pct"/>
            <w:tcBorders>
              <w:bottom w:val="single" w:sz="4" w:space="0" w:color="auto"/>
            </w:tcBorders>
          </w:tcPr>
          <w:p w14:paraId="3E783418" w14:textId="75FF7F59"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1.04</w:t>
            </w:r>
          </w:p>
        </w:tc>
      </w:tr>
      <w:tr w:rsidR="00F022A1" w:rsidRPr="00CF6438" w14:paraId="65486D90" w14:textId="77777777" w:rsidTr="00F022A1">
        <w:tc>
          <w:tcPr>
            <w:cnfStyle w:val="001000000000" w:firstRow="0" w:lastRow="0" w:firstColumn="1" w:lastColumn="0" w:oddVBand="0" w:evenVBand="0" w:oddHBand="0" w:evenHBand="0" w:firstRowFirstColumn="0" w:firstRowLastColumn="0" w:lastRowFirstColumn="0" w:lastRowLastColumn="0"/>
            <w:tcW w:w="507" w:type="pct"/>
          </w:tcPr>
          <w:p w14:paraId="79AF67E4" w14:textId="77777777" w:rsidR="00F022A1" w:rsidRPr="00CF6438" w:rsidRDefault="00F022A1" w:rsidP="00F022A1">
            <w:pPr>
              <w:rPr>
                <w:b w:val="0"/>
                <w:lang w:val="en-US"/>
              </w:rPr>
            </w:pPr>
            <w:r w:rsidRPr="00CF6438">
              <w:rPr>
                <w:b w:val="0"/>
                <w:lang w:val="en-US"/>
              </w:rPr>
              <w:t xml:space="preserve">10 </w:t>
            </w:r>
            <w:proofErr w:type="spellStart"/>
            <w:r w:rsidRPr="00CF6438">
              <w:rPr>
                <w:b w:val="0"/>
                <w:lang w:val="en-US"/>
              </w:rPr>
              <w:t>fg</w:t>
            </w:r>
            <w:proofErr w:type="spellEnd"/>
          </w:p>
        </w:tc>
        <w:tc>
          <w:tcPr>
            <w:tcW w:w="1328" w:type="pct"/>
            <w:tcBorders>
              <w:top w:val="single" w:sz="4" w:space="0" w:color="auto"/>
            </w:tcBorders>
          </w:tcPr>
          <w:p w14:paraId="593193C8" w14:textId="77777777"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w:r w:rsidRPr="007E0331">
              <w:rPr>
                <w:rFonts w:ascii="Cambria Math" w:hAnsi="Cambria Math"/>
                <w:i/>
                <w:lang w:val="en-US"/>
              </w:rPr>
              <w:t>ρ</w:t>
            </w:r>
            <w:r w:rsidRPr="007E0331">
              <w:rPr>
                <w:rFonts w:ascii="Cambria Math" w:hAnsi="Cambria Math"/>
                <w:vertAlign w:val="subscript"/>
                <w:lang w:val="en-US"/>
              </w:rPr>
              <w:t>eff,100</w:t>
            </w:r>
          </w:p>
        </w:tc>
        <w:tc>
          <w:tcPr>
            <w:tcW w:w="1418" w:type="pct"/>
            <w:tcBorders>
              <w:top w:val="single" w:sz="4" w:space="0" w:color="auto"/>
            </w:tcBorders>
          </w:tcPr>
          <w:p w14:paraId="5DFF4688" w14:textId="0DA61111"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+3.</w:t>
            </w:r>
            <w:r>
              <w:rPr>
                <w:lang w:val="en-US"/>
              </w:rPr>
              <w:t>5</w:t>
            </w:r>
            <w:r w:rsidRPr="00CF6438">
              <w:rPr>
                <w:lang w:val="en-US"/>
              </w:rPr>
              <w:t xml:space="preserve"> / </w:t>
            </w:r>
            <w:r>
              <w:rPr>
                <w:lang w:val="en-US"/>
              </w:rPr>
              <w:t>–</w:t>
            </w:r>
            <w:r w:rsidRPr="00CF6438">
              <w:rPr>
                <w:lang w:val="en-US"/>
              </w:rPr>
              <w:t>3.2</w:t>
            </w:r>
          </w:p>
        </w:tc>
        <w:tc>
          <w:tcPr>
            <w:tcW w:w="1747" w:type="pct"/>
            <w:tcBorders>
              <w:top w:val="single" w:sz="4" w:space="0" w:color="auto"/>
            </w:tcBorders>
          </w:tcPr>
          <w:p w14:paraId="2541B84F" w14:textId="65C56095"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1.34</w:t>
            </w:r>
          </w:p>
        </w:tc>
      </w:tr>
      <w:tr w:rsidR="00F022A1" w:rsidRPr="00CF6438" w14:paraId="6DC59E71"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26A0165D" w14:textId="77777777" w:rsidR="00F022A1" w:rsidRPr="00CF6438" w:rsidRDefault="00F022A1" w:rsidP="00F022A1">
            <w:pPr>
              <w:rPr>
                <w:b w:val="0"/>
                <w:lang w:val="en-US"/>
              </w:rPr>
            </w:pPr>
          </w:p>
        </w:tc>
        <w:tc>
          <w:tcPr>
            <w:tcW w:w="1328" w:type="pct"/>
          </w:tcPr>
          <w:p w14:paraId="6686BA96" w14:textId="5EE8E396"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m:oMath>
              <m:r>
                <w:rPr>
                  <w:rFonts w:ascii="Cambria Math" w:hAnsi="Cambria Math"/>
                </w:rPr>
                <m:t>ε</m:t>
              </m:r>
            </m:oMath>
            <w:r>
              <w:rPr>
                <w:rFonts w:ascii="Cambria Math" w:hAnsi="Cambria Math"/>
              </w:rPr>
              <w:t xml:space="preserve"> </w:t>
            </w:r>
          </w:p>
        </w:tc>
        <w:tc>
          <w:tcPr>
            <w:tcW w:w="1418" w:type="pct"/>
          </w:tcPr>
          <w:p w14:paraId="59B0ED4C" w14:textId="3C795C8F"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+3</w:t>
            </w:r>
            <w:r>
              <w:rPr>
                <w:lang w:val="en-US"/>
              </w:rPr>
              <w:t>6</w:t>
            </w:r>
            <w:r w:rsidRPr="00CF6438">
              <w:rPr>
                <w:lang w:val="en-US"/>
              </w:rPr>
              <w:t xml:space="preserve"> / </w:t>
            </w:r>
            <w:r>
              <w:rPr>
                <w:lang w:val="en-US"/>
              </w:rPr>
              <w:t>–</w:t>
            </w:r>
            <w:r w:rsidRPr="00CF6438">
              <w:rPr>
                <w:lang w:val="en-US"/>
              </w:rPr>
              <w:t>2</w:t>
            </w:r>
            <w:r>
              <w:rPr>
                <w:lang w:val="en-US"/>
              </w:rPr>
              <w:t>3</w:t>
            </w:r>
          </w:p>
        </w:tc>
        <w:tc>
          <w:tcPr>
            <w:tcW w:w="1747" w:type="pct"/>
          </w:tcPr>
          <w:p w14:paraId="738C7085" w14:textId="601719A8"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11.5</w:t>
            </w:r>
          </w:p>
        </w:tc>
      </w:tr>
      <w:tr w:rsidR="00F022A1" w:rsidRPr="00CF6438" w14:paraId="56A4A156"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25077CB6" w14:textId="77777777" w:rsidR="00F022A1" w:rsidRPr="00CF6438" w:rsidRDefault="00F022A1" w:rsidP="00F022A1">
            <w:pPr>
              <w:rPr>
                <w:b w:val="0"/>
                <w:lang w:val="en-US"/>
              </w:rPr>
            </w:pPr>
          </w:p>
        </w:tc>
        <w:tc>
          <w:tcPr>
            <w:tcW w:w="1328" w:type="pct"/>
          </w:tcPr>
          <w:p w14:paraId="2B481508" w14:textId="3F57B1E3"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i/>
                <w:iCs/>
                <w:lang w:val="en-US"/>
              </w:rPr>
            </w:pPr>
            <m:oMath>
              <m:r>
                <w:rPr>
                  <w:rFonts w:ascii="Cambria Math" w:hAnsi="Cambria Math"/>
                  <w:lang w:val="en-US"/>
                </w:rPr>
                <m:t>κ</m:t>
              </m:r>
            </m:oMath>
            <w:r>
              <w:rPr>
                <w:rFonts w:ascii="Cambria Math" w:hAnsi="Cambria Math"/>
                <w:i/>
                <w:iCs/>
                <w:lang w:val="en-US"/>
              </w:rPr>
              <w:t xml:space="preserve"> </w:t>
            </w:r>
          </w:p>
        </w:tc>
        <w:tc>
          <w:tcPr>
            <w:tcW w:w="1418" w:type="pct"/>
          </w:tcPr>
          <w:p w14:paraId="075B8F41" w14:textId="4AA2D361" w:rsidR="00F022A1"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m:oMathPara>
              <m:oMath>
                <m:r>
                  <w:rPr>
                    <w:rFonts w:ascii="Cambria Math" w:hAnsi="Cambria Math"/>
                    <w:lang w:val="en-US"/>
                  </w:rPr>
                  <m:t>-0.04 / +0.04</m:t>
                </m:r>
              </m:oMath>
            </m:oMathPara>
          </w:p>
        </w:tc>
        <w:tc>
          <w:tcPr>
            <w:tcW w:w="1747" w:type="pct"/>
          </w:tcPr>
          <w:p w14:paraId="5E935EB1" w14:textId="0BBCEB67" w:rsidR="00F022A1" w:rsidRPr="00A75A59"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m:oMathPara>
              <m:oMathParaPr>
                <m:jc m:val="right"/>
              </m:oMathParaPr>
              <m:oMath>
                <m:r>
                  <w:rPr>
                    <w:rFonts w:ascii="Cambria Math" w:hAnsi="Cambria Math"/>
                    <w:lang w:val="en-US"/>
                  </w:rPr>
                  <m:t>+0.01</m:t>
                </m:r>
              </m:oMath>
            </m:oMathPara>
          </w:p>
        </w:tc>
      </w:tr>
      <w:tr w:rsidR="00F022A1" w:rsidRPr="00CF6438" w14:paraId="69471E2A" w14:textId="77777777" w:rsidTr="005224DA">
        <w:tc>
          <w:tcPr>
            <w:cnfStyle w:val="001000000000" w:firstRow="0" w:lastRow="0" w:firstColumn="1" w:lastColumn="0" w:oddVBand="0" w:evenVBand="0" w:oddHBand="0" w:evenHBand="0" w:firstRowFirstColumn="0" w:firstRowLastColumn="0" w:lastRowFirstColumn="0" w:lastRowLastColumn="0"/>
            <w:tcW w:w="507" w:type="pct"/>
          </w:tcPr>
          <w:p w14:paraId="515C4644" w14:textId="77777777" w:rsidR="00F022A1" w:rsidRPr="00CF6438" w:rsidRDefault="00F022A1" w:rsidP="00F022A1">
            <w:pPr>
              <w:rPr>
                <w:b w:val="0"/>
                <w:lang w:val="en-US"/>
              </w:rPr>
            </w:pPr>
          </w:p>
        </w:tc>
        <w:tc>
          <w:tcPr>
            <w:tcW w:w="1328" w:type="pct"/>
          </w:tcPr>
          <w:p w14:paraId="5C008A39" w14:textId="77777777" w:rsidR="00F022A1" w:rsidRPr="007E0331" w:rsidRDefault="00F022A1" w:rsidP="00F022A1">
            <w:pPr>
              <w:cnfStyle w:val="000000000000" w:firstRow="0" w:lastRow="0" w:firstColumn="0" w:lastColumn="0" w:oddVBand="0" w:evenVBand="0" w:oddHBand="0" w:evenHBand="0" w:firstRowFirstColumn="0" w:firstRowLastColumn="0" w:lastRowFirstColumn="0" w:lastRowLastColumn="0"/>
              <w:rPr>
                <w:rFonts w:ascii="Cambria Math" w:hAnsi="Cambria Math"/>
                <w:lang w:val="en-US"/>
              </w:rPr>
            </w:pPr>
            <w:r w:rsidRPr="007E0331">
              <w:rPr>
                <w:rFonts w:ascii="Cambria Math" w:hAnsi="Cambria Math"/>
                <w:i/>
                <w:iCs/>
                <w:lang w:val="en-US"/>
              </w:rPr>
              <w:t>n</w:t>
            </w:r>
            <w:r w:rsidRPr="007E0331">
              <w:rPr>
                <w:rFonts w:ascii="Cambria Math" w:hAnsi="Cambria Math"/>
                <w:i/>
                <w:iCs/>
                <w:vertAlign w:val="subscript"/>
                <w:lang w:val="en-US"/>
              </w:rPr>
              <w:t>i</w:t>
            </w:r>
            <w:r w:rsidRPr="007E0331">
              <w:rPr>
                <w:rFonts w:ascii="Cambria Math" w:hAnsi="Cambria Math"/>
                <w:i/>
                <w:iCs/>
                <w:lang w:val="en-US"/>
              </w:rPr>
              <w:t>t</w:t>
            </w:r>
          </w:p>
        </w:tc>
        <w:tc>
          <w:tcPr>
            <w:tcW w:w="1418" w:type="pct"/>
          </w:tcPr>
          <w:p w14:paraId="1BC39FA6" w14:textId="43D16FE7" w:rsidR="00F022A1" w:rsidRPr="00CF6438" w:rsidRDefault="00F022A1" w:rsidP="00F022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CF6438">
              <w:rPr>
                <w:lang w:val="en-US"/>
              </w:rPr>
              <w:t>2.9 / +2.3</w:t>
            </w:r>
          </w:p>
        </w:tc>
        <w:tc>
          <w:tcPr>
            <w:tcW w:w="1747" w:type="pct"/>
          </w:tcPr>
          <w:p w14:paraId="3AD06F35" w14:textId="71402097" w:rsidR="00F022A1" w:rsidRPr="00CF6438" w:rsidRDefault="00F022A1" w:rsidP="00F022A1">
            <w:pPr>
              <w:ind w:right="594"/>
              <w:jc w:val="right"/>
              <w:cnfStyle w:val="000000000000" w:firstRow="0" w:lastRow="0" w:firstColumn="0" w:lastColumn="0" w:oddVBand="0" w:evenVBand="0" w:oddHBand="0" w:evenHBand="0" w:firstRowFirstColumn="0" w:firstRowLastColumn="0" w:lastRowFirstColumn="0" w:lastRowLastColumn="0"/>
              <w:rPr>
                <w:lang w:val="en-US"/>
              </w:rPr>
            </w:pPr>
            <w:r w:rsidRPr="00CF6438">
              <w:rPr>
                <w:lang w:val="en-US"/>
              </w:rPr>
              <w:t>1.05</w:t>
            </w:r>
          </w:p>
        </w:tc>
      </w:tr>
    </w:tbl>
    <w:p w14:paraId="01667DCD" w14:textId="048FB7F4" w:rsidR="00EA129A" w:rsidRPr="00D158BE" w:rsidRDefault="00D158BE" w:rsidP="00CF6438">
      <w:pPr>
        <w:rPr>
          <w:rFonts w:ascii="Cambria Math" w:hAnsi="Cambria Math"/>
          <w:sz w:val="22"/>
          <w:lang w:val="en-US"/>
        </w:rPr>
      </w:pPr>
      <w:proofErr w:type="spellStart"/>
      <w:proofErr w:type="gramStart"/>
      <w:r>
        <w:rPr>
          <w:rFonts w:ascii="Cambria Math" w:hAnsi="Cambria Math"/>
          <w:sz w:val="22"/>
          <w:vertAlign w:val="superscript"/>
          <w:lang w:val="en-US"/>
        </w:rPr>
        <w:t>a</w:t>
      </w:r>
      <w:r>
        <w:rPr>
          <w:rFonts w:ascii="Cambria Math" w:hAnsi="Cambria Math"/>
          <w:sz w:val="22"/>
          <w:lang w:val="en-US"/>
        </w:rPr>
        <w:t>Terms</w:t>
      </w:r>
      <w:proofErr w:type="spellEnd"/>
      <w:proofErr w:type="gramEnd"/>
      <w:r>
        <w:rPr>
          <w:rFonts w:ascii="Cambria Math" w:hAnsi="Cambria Math"/>
          <w:sz w:val="22"/>
          <w:lang w:val="en-US"/>
        </w:rPr>
        <w:t xml:space="preserve"> are </w:t>
      </w:r>
      <w:r w:rsidRPr="007E0331">
        <w:rPr>
          <w:rFonts w:ascii="Cambria Math" w:hAnsi="Cambria Math"/>
          <w:i/>
          <w:lang w:val="en-US"/>
        </w:rPr>
        <w:t>ρ</w:t>
      </w:r>
      <w:r w:rsidRPr="007E0331">
        <w:rPr>
          <w:rFonts w:ascii="Cambria Math" w:hAnsi="Cambria Math"/>
          <w:vertAlign w:val="subscript"/>
          <w:lang w:val="en-US"/>
        </w:rPr>
        <w:t>eff,100</w:t>
      </w:r>
      <w:r>
        <w:rPr>
          <w:rFonts w:ascii="Cambria Math" w:hAnsi="Cambria Math"/>
          <w:lang w:val="en-US"/>
        </w:rPr>
        <w:t xml:space="preserve">: effective density of a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r>
          <w:rPr>
            <w:rFonts w:ascii="Cambria Math" w:hAnsi="Cambria Math"/>
            <w:lang w:val="en-US"/>
          </w:rPr>
          <m:t>=</m:t>
        </m:r>
      </m:oMath>
      <w:r>
        <w:rPr>
          <w:rFonts w:ascii="Cambria Math" w:hAnsi="Cambria Math"/>
          <w:lang w:val="en-US"/>
        </w:rPr>
        <w:t xml:space="preserve"> 100 nm particle; </w:t>
      </w:r>
      <m:oMath>
        <m:r>
          <w:rPr>
            <w:rFonts w:ascii="Cambria Math" w:hAnsi="Cambria Math"/>
            <w:lang w:val="en-US"/>
          </w:rPr>
          <m:t>ε</m:t>
        </m:r>
      </m:oMath>
      <w:r>
        <w:rPr>
          <w:rFonts w:ascii="Cambria Math" w:hAnsi="Cambria Math"/>
          <w:lang w:val="en-US"/>
        </w:rPr>
        <w:t xml:space="preserve">: mass-mobility exponent; </w:t>
      </w:r>
      <m:oMath>
        <m:r>
          <w:rPr>
            <w:rFonts w:ascii="Cambria Math" w:hAnsi="Cambria Math"/>
            <w:lang w:val="en-US"/>
          </w:rPr>
          <m:t>κ</m:t>
        </m:r>
      </m:oMath>
      <w:r>
        <w:rPr>
          <w:rFonts w:ascii="Cambria Math" w:hAnsi="Cambria Math"/>
          <w:lang w:val="en-US"/>
        </w:rPr>
        <w:t xml:space="preserve">: dielectric constant;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r>
          <w:rPr>
            <w:rFonts w:ascii="Cambria Math" w:hAnsi="Cambria Math"/>
            <w:lang w:val="en-US"/>
          </w:rPr>
          <m:t>t</m:t>
        </m:r>
      </m:oMath>
      <w:r>
        <w:rPr>
          <w:rFonts w:ascii="Cambria Math" w:hAnsi="Cambria Math"/>
          <w:lang w:val="en-US"/>
        </w:rPr>
        <w:t xml:space="preserve">: ion-concentration-time product of the UDAC; </w:t>
      </w:r>
    </w:p>
    <w:p w14:paraId="6875DDE4" w14:textId="7A5BF10A" w:rsidR="006707F0" w:rsidRDefault="006707F0">
      <w:pPr>
        <w:spacing w:line="240" w:lineRule="auto"/>
      </w:pPr>
      <w:r>
        <w:br w:type="page"/>
      </w:r>
    </w:p>
    <w:p w14:paraId="73303B54" w14:textId="1EEF0715" w:rsidR="000C22D4" w:rsidRPr="00C9061D" w:rsidRDefault="00CF6438" w:rsidP="000C22D4">
      <w:pPr>
        <w:pStyle w:val="Tabletitle"/>
      </w:pPr>
      <w:r>
        <w:lastRenderedPageBreak/>
        <w:t>Table S</w:t>
      </w:r>
      <w:r w:rsidR="003E052F">
        <w:rPr>
          <w:noProof/>
        </w:rPr>
        <w:t>4</w:t>
      </w:r>
      <w:r>
        <w:t xml:space="preserve">. </w:t>
      </w:r>
      <w:r w:rsidR="000C22D4">
        <w:t xml:space="preserve">Results of fitting Equation </w:t>
      </w:r>
      <w:r w:rsidR="003E052F">
        <w:rPr>
          <w:noProof/>
        </w:rPr>
        <w:t>S6</w:t>
      </w:r>
      <w:r w:rsidR="000C22D4">
        <w:t xml:space="preserve"> to the data in </w:t>
      </w:r>
      <w:r w:rsidR="003E052F">
        <w:t xml:space="preserve">Figure </w:t>
      </w:r>
      <w:r w:rsidR="003E052F">
        <w:rPr>
          <w:noProof/>
        </w:rPr>
        <w:t>5</w:t>
      </w:r>
      <w:r w:rsidR="000C22D4">
        <w:t xml:space="preserve"> (and </w:t>
      </w:r>
      <w:r w:rsidR="003E052F">
        <w:t>Figure S</w:t>
      </w:r>
      <w:r w:rsidR="003E052F">
        <w:rPr>
          <w:noProof/>
        </w:rPr>
        <w:t>7</w:t>
      </w:r>
      <w:r w:rsidR="000C22D4">
        <w:t>)</w:t>
      </w:r>
      <w:r w:rsidR="000C22D4" w:rsidRPr="00C9061D">
        <w:t>.</w:t>
      </w:r>
      <w:r w:rsidR="000C22D4">
        <w:t xml:space="preserve"> </w:t>
      </w:r>
      <w:proofErr w:type="spellStart"/>
      <w:r w:rsidR="000C22D4">
        <w:t>n.f</w:t>
      </w:r>
      <w:proofErr w:type="spellEnd"/>
      <w:r w:rsidR="000C22D4">
        <w:t xml:space="preserve">. = not fitted. Fits were not performed when the range of data was too narrow to constrain a sigmoidal trend. </w:t>
      </w:r>
    </w:p>
    <w:p w14:paraId="1C60FAEE" w14:textId="77777777" w:rsidR="000C22D4" w:rsidRPr="005807E5" w:rsidRDefault="000C22D4" w:rsidP="000C22D4"/>
    <w:tbl>
      <w:tblPr>
        <w:tblStyle w:val="ListTable1Light"/>
        <w:tblW w:w="5254" w:type="pct"/>
        <w:tblLook w:val="06A0" w:firstRow="1" w:lastRow="0" w:firstColumn="1" w:lastColumn="0" w:noHBand="1" w:noVBand="1"/>
      </w:tblPr>
      <w:tblGrid>
        <w:gridCol w:w="3171"/>
        <w:gridCol w:w="1224"/>
        <w:gridCol w:w="1275"/>
        <w:gridCol w:w="1560"/>
        <w:gridCol w:w="1701"/>
      </w:tblGrid>
      <w:tr w:rsidR="00A82B1A" w14:paraId="4B8C9531" w14:textId="2A8048E7" w:rsidTr="004C0E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1" w:type="dxa"/>
            <w:tcBorders>
              <w:top w:val="single" w:sz="4" w:space="0" w:color="auto"/>
            </w:tcBorders>
            <w:vAlign w:val="center"/>
          </w:tcPr>
          <w:p w14:paraId="4F874836" w14:textId="1B0DD99B" w:rsidR="000C22D4" w:rsidRPr="009473BC" w:rsidRDefault="000C22D4" w:rsidP="005224DA">
            <w:pPr>
              <w:jc w:val="center"/>
            </w:pPr>
            <w:r>
              <w:t>Source</w:t>
            </w:r>
          </w:p>
        </w:tc>
        <w:tc>
          <w:tcPr>
            <w:tcW w:w="1224" w:type="dxa"/>
            <w:tcBorders>
              <w:top w:val="single" w:sz="4" w:space="0" w:color="auto"/>
            </w:tcBorders>
            <w:vAlign w:val="center"/>
          </w:tcPr>
          <w:p w14:paraId="13EA31F6" w14:textId="3414DE3D" w:rsidR="000C22D4" w:rsidRPr="009473BC" w:rsidRDefault="000C22D4" w:rsidP="005224DA">
            <w:pPr>
              <w:jc w:val="cente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a</m:t>
                </m:r>
              </m:oMath>
            </m:oMathPara>
          </w:p>
        </w:tc>
        <w:tc>
          <w:tcPr>
            <w:tcW w:w="1275" w:type="dxa"/>
            <w:tcBorders>
              <w:top w:val="single" w:sz="4" w:space="0" w:color="auto"/>
            </w:tcBorders>
            <w:vAlign w:val="center"/>
          </w:tcPr>
          <w:p w14:paraId="1A8B64E4" w14:textId="3560325B" w:rsidR="000C22D4" w:rsidRDefault="000C22D4" w:rsidP="005224DA">
            <w:pPr>
              <w:jc w:val="cente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b</m:t>
                </m:r>
              </m:oMath>
            </m:oMathPara>
          </w:p>
        </w:tc>
        <w:tc>
          <w:tcPr>
            <w:tcW w:w="1560" w:type="dxa"/>
            <w:tcBorders>
              <w:top w:val="single" w:sz="4" w:space="0" w:color="auto"/>
            </w:tcBorders>
            <w:vAlign w:val="center"/>
          </w:tcPr>
          <w:p w14:paraId="70AA2CFB" w14:textId="29C72AB2" w:rsidR="000C22D4" w:rsidRDefault="000C22D4" w:rsidP="005224DA">
            <w:pPr>
              <w:jc w:val="cente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c</m:t>
                </m:r>
              </m:oMath>
            </m:oMathPara>
          </w:p>
        </w:tc>
        <w:tc>
          <w:tcPr>
            <w:tcW w:w="1701" w:type="dxa"/>
            <w:tcBorders>
              <w:top w:val="single" w:sz="4" w:space="0" w:color="auto"/>
            </w:tcBorders>
            <w:vAlign w:val="center"/>
          </w:tcPr>
          <w:p w14:paraId="16797FB1" w14:textId="14CAD412" w:rsidR="000C22D4" w:rsidRDefault="000C22D4" w:rsidP="005224DA">
            <w:pPr>
              <w:jc w:val="cente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d</m:t>
                </m:r>
              </m:oMath>
            </m:oMathPara>
          </w:p>
        </w:tc>
      </w:tr>
      <w:tr w:rsidR="00A82B1A" w14:paraId="0043B233" w14:textId="4E245E80" w:rsidTr="004C0EB6">
        <w:tc>
          <w:tcPr>
            <w:cnfStyle w:val="001000000000" w:firstRow="0" w:lastRow="0" w:firstColumn="1" w:lastColumn="0" w:oddVBand="0" w:evenVBand="0" w:oddHBand="0" w:evenHBand="0" w:firstRowFirstColumn="0" w:firstRowLastColumn="0" w:lastRowFirstColumn="0" w:lastRowLastColumn="0"/>
            <w:tcW w:w="3171" w:type="dxa"/>
          </w:tcPr>
          <w:p w14:paraId="6B4443F4" w14:textId="254B00A1" w:rsidR="000C22D4" w:rsidRPr="00BF6C90" w:rsidRDefault="000C22D4" w:rsidP="005224DA">
            <w:pPr>
              <w:jc w:val="center"/>
              <w:rPr>
                <w:b w:val="0"/>
              </w:rPr>
            </w:pPr>
            <w:r w:rsidRPr="00BF6C90">
              <w:rPr>
                <w:b w:val="0"/>
              </w:rPr>
              <w:t xml:space="preserve">Gnome </w:t>
            </w:r>
            <w:proofErr w:type="spellStart"/>
            <w:r w:rsidRPr="00BF6C90">
              <w:rPr>
                <w:b w:val="0"/>
              </w:rPr>
              <w:t>turbine</w:t>
            </w:r>
            <w:r w:rsidR="00BF6C90">
              <w:rPr>
                <w:b w:val="0"/>
                <w:vertAlign w:val="superscript"/>
              </w:rPr>
              <w:t>a</w:t>
            </w:r>
            <w:proofErr w:type="spellEnd"/>
            <w:r w:rsidRPr="00BF6C90">
              <w:rPr>
                <w:b w:val="0"/>
              </w:rPr>
              <w:t xml:space="preserve"> </w:t>
            </w:r>
          </w:p>
        </w:tc>
        <w:tc>
          <w:tcPr>
            <w:tcW w:w="1224" w:type="dxa"/>
            <w:vAlign w:val="center"/>
          </w:tcPr>
          <w:p w14:paraId="34EFC899" w14:textId="75FA1DC4" w:rsidR="000C22D4" w:rsidRPr="009473BC" w:rsidRDefault="00BF6C9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5.5±0.2</m:t>
                </m:r>
              </m:oMath>
            </m:oMathPara>
          </w:p>
        </w:tc>
        <w:tc>
          <w:tcPr>
            <w:tcW w:w="1275" w:type="dxa"/>
            <w:vAlign w:val="center"/>
          </w:tcPr>
          <w:p w14:paraId="6DEF7138" w14:textId="481AFF38" w:rsidR="000C22D4" w:rsidRDefault="00BF6C9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6.6±0.2</m:t>
                </m:r>
              </m:oMath>
            </m:oMathPara>
          </w:p>
        </w:tc>
        <w:tc>
          <w:tcPr>
            <w:tcW w:w="1560" w:type="dxa"/>
            <w:vAlign w:val="center"/>
          </w:tcPr>
          <w:p w14:paraId="15D750CE" w14:textId="0B5B84EB" w:rsidR="000C22D4" w:rsidRPr="005807E5" w:rsidRDefault="00BF6C90" w:rsidP="00BF6C90">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2.9±2.6</m:t>
                </m:r>
              </m:oMath>
            </m:oMathPara>
          </w:p>
        </w:tc>
        <w:tc>
          <w:tcPr>
            <w:tcW w:w="1701" w:type="dxa"/>
            <w:vAlign w:val="center"/>
          </w:tcPr>
          <w:p w14:paraId="644A2CFD" w14:textId="5B2D83F7" w:rsidR="000C22D4" w:rsidRDefault="00C06342" w:rsidP="00BF6C90">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-0.64±0.91</m:t>
                </m:r>
              </m:oMath>
            </m:oMathPara>
          </w:p>
        </w:tc>
      </w:tr>
      <w:tr w:rsidR="00A82B1A" w14:paraId="130ACC51" w14:textId="0CACD39C" w:rsidTr="004C0EB6">
        <w:tc>
          <w:tcPr>
            <w:cnfStyle w:val="001000000000" w:firstRow="0" w:lastRow="0" w:firstColumn="1" w:lastColumn="0" w:oddVBand="0" w:evenVBand="0" w:oddHBand="0" w:evenHBand="0" w:firstRowFirstColumn="0" w:firstRowLastColumn="0" w:lastRowFirstColumn="0" w:lastRowLastColumn="0"/>
            <w:tcW w:w="3171" w:type="dxa"/>
          </w:tcPr>
          <w:p w14:paraId="40180D51" w14:textId="5D09EF17" w:rsidR="005A7724" w:rsidRPr="00BF6C90" w:rsidRDefault="005A7724" w:rsidP="005224DA">
            <w:pPr>
              <w:jc w:val="center"/>
              <w:rPr>
                <w:b w:val="0"/>
              </w:rPr>
            </w:pPr>
            <w:r w:rsidRPr="00BF6C90">
              <w:rPr>
                <w:b w:val="0"/>
              </w:rPr>
              <w:t>Diesel generator</w:t>
            </w:r>
          </w:p>
        </w:tc>
        <w:tc>
          <w:tcPr>
            <w:tcW w:w="1224" w:type="dxa"/>
            <w:vAlign w:val="center"/>
          </w:tcPr>
          <w:p w14:paraId="75C3BE81" w14:textId="4540DA0E" w:rsidR="005A7724" w:rsidRPr="009473BC" w:rsidRDefault="005A7724" w:rsidP="005224DA">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71706088" w14:textId="0FC05A41" w:rsidR="005A7724" w:rsidRPr="009473BC" w:rsidRDefault="005A7724" w:rsidP="005224DA">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7F344367" w14:textId="4E05B48F" w:rsidR="005A7724" w:rsidRDefault="005A7724" w:rsidP="005224DA">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5D3EB826" w14:textId="55138D30" w:rsidR="005A7724" w:rsidRDefault="005A7724" w:rsidP="005224DA">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A82B1A" w14:paraId="4C414E76" w14:textId="4A2B77A6" w:rsidTr="004C0EB6">
        <w:tc>
          <w:tcPr>
            <w:cnfStyle w:val="001000000000" w:firstRow="0" w:lastRow="0" w:firstColumn="1" w:lastColumn="0" w:oddVBand="0" w:evenVBand="0" w:oddHBand="0" w:evenHBand="0" w:firstRowFirstColumn="0" w:firstRowLastColumn="0" w:lastRowFirstColumn="0" w:lastRowLastColumn="0"/>
            <w:tcW w:w="3171" w:type="dxa"/>
          </w:tcPr>
          <w:p w14:paraId="204D09AF" w14:textId="069695FB" w:rsidR="000C22D4" w:rsidRPr="00FA6B87" w:rsidRDefault="00FA6B87" w:rsidP="005224DA">
            <w:pPr>
              <w:jc w:val="center"/>
              <w:rPr>
                <w:vertAlign w:val="superscript"/>
              </w:rPr>
            </w:pPr>
            <w:r>
              <w:rPr>
                <w:b w:val="0"/>
              </w:rPr>
              <w:t xml:space="preserve">Argonaut </w:t>
            </w:r>
            <w:proofErr w:type="spellStart"/>
            <w:r>
              <w:rPr>
                <w:b w:val="0"/>
              </w:rPr>
              <w:t>MISG</w:t>
            </w:r>
            <w:r>
              <w:rPr>
                <w:vertAlign w:val="superscript"/>
              </w:rPr>
              <w:t>b</w:t>
            </w:r>
            <w:proofErr w:type="spellEnd"/>
          </w:p>
        </w:tc>
        <w:tc>
          <w:tcPr>
            <w:tcW w:w="1224" w:type="dxa"/>
            <w:vAlign w:val="center"/>
          </w:tcPr>
          <w:p w14:paraId="46793246" w14:textId="4FFFB233" w:rsidR="000C22D4" w:rsidRDefault="00BF6C90" w:rsidP="00BF6C90">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4.8±0.5</m:t>
                </m:r>
              </m:oMath>
            </m:oMathPara>
          </w:p>
        </w:tc>
        <w:tc>
          <w:tcPr>
            <w:tcW w:w="1275" w:type="dxa"/>
            <w:vAlign w:val="center"/>
          </w:tcPr>
          <w:p w14:paraId="328A8E02" w14:textId="141F081D" w:rsidR="000C22D4" w:rsidRDefault="00BF6C90" w:rsidP="00BF6C90">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6.9±0.1</m:t>
                </m:r>
              </m:oMath>
            </m:oMathPara>
          </w:p>
        </w:tc>
        <w:tc>
          <w:tcPr>
            <w:tcW w:w="1560" w:type="dxa"/>
            <w:vAlign w:val="center"/>
          </w:tcPr>
          <w:p w14:paraId="0876AFC2" w14:textId="4DCC4EA4" w:rsidR="000C22D4" w:rsidRDefault="00BF6C9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2.25±0.78</m:t>
                </m:r>
              </m:oMath>
            </m:oMathPara>
          </w:p>
        </w:tc>
        <w:tc>
          <w:tcPr>
            <w:tcW w:w="1701" w:type="dxa"/>
            <w:vAlign w:val="center"/>
          </w:tcPr>
          <w:p w14:paraId="009A0016" w14:textId="6C6957E7" w:rsidR="000C22D4" w:rsidRDefault="00BF6C90" w:rsidP="00BF6C90">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0.21±0.31</m:t>
                </m:r>
              </m:oMath>
            </m:oMathPara>
          </w:p>
        </w:tc>
      </w:tr>
      <w:tr w:rsidR="00A82B1A" w14:paraId="46D1B435" w14:textId="2F020B3C" w:rsidTr="004C0EB6">
        <w:tc>
          <w:tcPr>
            <w:cnfStyle w:val="001000000000" w:firstRow="0" w:lastRow="0" w:firstColumn="1" w:lastColumn="0" w:oddVBand="0" w:evenVBand="0" w:oddHBand="0" w:evenHBand="0" w:firstRowFirstColumn="0" w:firstRowLastColumn="0" w:lastRowFirstColumn="0" w:lastRowLastColumn="0"/>
            <w:tcW w:w="3171" w:type="dxa"/>
          </w:tcPr>
          <w:p w14:paraId="006BEC6C" w14:textId="4C50A145" w:rsidR="005A7724" w:rsidRPr="00BF6C90" w:rsidRDefault="005A7724" w:rsidP="005A7724">
            <w:pPr>
              <w:jc w:val="center"/>
              <w:rPr>
                <w:b w:val="0"/>
              </w:rPr>
            </w:pPr>
            <w:proofErr w:type="spellStart"/>
            <w:r w:rsidRPr="00BF6C90">
              <w:rPr>
                <w:b w:val="0"/>
              </w:rPr>
              <w:t>miniCAST</w:t>
            </w:r>
            <w:proofErr w:type="spellEnd"/>
            <w:r w:rsidRPr="00BF6C90">
              <w:rPr>
                <w:b w:val="0"/>
              </w:rPr>
              <w:t>-S</w:t>
            </w:r>
          </w:p>
        </w:tc>
        <w:tc>
          <w:tcPr>
            <w:tcW w:w="1224" w:type="dxa"/>
            <w:vAlign w:val="center"/>
          </w:tcPr>
          <w:p w14:paraId="47599FC2" w14:textId="62192C6F"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5452BBFB" w14:textId="479590B8"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05025DB6" w14:textId="081DDCF1"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7C75BBF6" w14:textId="4809DA19"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A82B1A" w14:paraId="5B02EF91"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311A436B" w14:textId="7C6E4794" w:rsidR="005A7724" w:rsidRPr="000C22D4" w:rsidRDefault="005A7724" w:rsidP="005A7724">
            <w:pPr>
              <w:jc w:val="center"/>
              <w:rPr>
                <w:b w:val="0"/>
              </w:rPr>
            </w:pPr>
            <w:proofErr w:type="spellStart"/>
            <w:r w:rsidRPr="00A92EE8">
              <w:rPr>
                <w:b w:val="0"/>
              </w:rPr>
              <w:t>miniCAST</w:t>
            </w:r>
            <w:proofErr w:type="spellEnd"/>
            <w:r w:rsidRPr="00A92EE8">
              <w:rPr>
                <w:b w:val="0"/>
              </w:rPr>
              <w:t>-</w:t>
            </w:r>
            <w:r>
              <w:rPr>
                <w:b w:val="0"/>
              </w:rPr>
              <w:t>D</w:t>
            </w:r>
          </w:p>
        </w:tc>
        <w:tc>
          <w:tcPr>
            <w:tcW w:w="1224" w:type="dxa"/>
            <w:vAlign w:val="center"/>
          </w:tcPr>
          <w:p w14:paraId="57993C68" w14:textId="6092A722"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2CAF4823" w14:textId="4C28F025"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5B6F1ED6" w14:textId="41693935"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50FED374" w14:textId="19562BB0"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A82B1A" w14:paraId="0517EFB9"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757BEFED" w14:textId="071C234C" w:rsidR="005A7724" w:rsidRPr="000C22D4" w:rsidRDefault="005A7724" w:rsidP="005A7724">
            <w:pPr>
              <w:jc w:val="center"/>
              <w:rPr>
                <w:b w:val="0"/>
              </w:rPr>
            </w:pPr>
            <w:proofErr w:type="spellStart"/>
            <w:r w:rsidRPr="00A92EE8">
              <w:rPr>
                <w:b w:val="0"/>
              </w:rPr>
              <w:t>miniCAST</w:t>
            </w:r>
            <w:proofErr w:type="spellEnd"/>
            <w:r w:rsidRPr="00A92EE8">
              <w:rPr>
                <w:b w:val="0"/>
              </w:rPr>
              <w:t>-</w:t>
            </w:r>
            <w:r>
              <w:rPr>
                <w:b w:val="0"/>
              </w:rPr>
              <w:t>A</w:t>
            </w:r>
          </w:p>
        </w:tc>
        <w:tc>
          <w:tcPr>
            <w:tcW w:w="1224" w:type="dxa"/>
            <w:vAlign w:val="center"/>
          </w:tcPr>
          <w:p w14:paraId="2EB0519B" w14:textId="5CE35A0A"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3D37808C" w14:textId="01A98E2A"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154B6184" w14:textId="2EF95625"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07E8B297" w14:textId="4C48EFDA" w:rsidR="005A7724" w:rsidRDefault="005A7724" w:rsidP="005A7724">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6707F0" w14:paraId="11764E8E"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067477C1" w14:textId="13A415AD" w:rsidR="006707F0" w:rsidRPr="000C22D4" w:rsidRDefault="006707F0" w:rsidP="006707F0">
            <w:pPr>
              <w:jc w:val="center"/>
              <w:rPr>
                <w:b w:val="0"/>
              </w:rPr>
            </w:pPr>
            <w:r>
              <w:rPr>
                <w:b w:val="0"/>
              </w:rPr>
              <w:t xml:space="preserve">Laboratory </w:t>
            </w:r>
            <w:proofErr w:type="spellStart"/>
            <w:r>
              <w:rPr>
                <w:b w:val="0"/>
              </w:rPr>
              <w:t>flame</w:t>
            </w:r>
            <w:r w:rsidR="00FA6B87">
              <w:rPr>
                <w:b w:val="0"/>
                <w:vertAlign w:val="superscript"/>
              </w:rPr>
              <w:t>c</w:t>
            </w:r>
            <w:proofErr w:type="spellEnd"/>
            <w:r>
              <w:rPr>
                <w:b w:val="0"/>
              </w:rPr>
              <w:t xml:space="preserve">, Ref. </w:t>
            </w:r>
            <w:r w:rsidR="00F900DB" w:rsidRPr="00F900DB">
              <w:rPr>
                <w:b w:val="0"/>
                <w:noProof/>
              </w:rPr>
              <w:t>[27]</w:t>
            </w:r>
          </w:p>
        </w:tc>
        <w:tc>
          <w:tcPr>
            <w:tcW w:w="1224" w:type="dxa"/>
            <w:vAlign w:val="center"/>
          </w:tcPr>
          <w:p w14:paraId="3D22EE12" w14:textId="17E945B7" w:rsidR="006707F0" w:rsidRPr="00247CA2" w:rsidRDefault="004C0EB6"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5.1±0.3</m:t>
                </m:r>
              </m:oMath>
            </m:oMathPara>
          </w:p>
        </w:tc>
        <w:tc>
          <w:tcPr>
            <w:tcW w:w="1275" w:type="dxa"/>
            <w:vAlign w:val="center"/>
          </w:tcPr>
          <w:p w14:paraId="001402E8" w14:textId="3804ECAE" w:rsidR="006707F0" w:rsidRPr="00247CA2" w:rsidRDefault="004C0EB6" w:rsidP="005D588F">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9.1±0.4</m:t>
                </m:r>
              </m:oMath>
            </m:oMathPara>
          </w:p>
        </w:tc>
        <w:tc>
          <w:tcPr>
            <w:tcW w:w="1560" w:type="dxa"/>
            <w:vAlign w:val="center"/>
          </w:tcPr>
          <w:p w14:paraId="1AC03402" w14:textId="0735137E" w:rsidR="006707F0" w:rsidRPr="00247CA2" w:rsidRDefault="004C0EB6"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1.3±0.2</m:t>
                </m:r>
              </m:oMath>
            </m:oMathPara>
          </w:p>
        </w:tc>
        <w:tc>
          <w:tcPr>
            <w:tcW w:w="1701" w:type="dxa"/>
            <w:vAlign w:val="center"/>
          </w:tcPr>
          <w:p w14:paraId="5A97ED45" w14:textId="0A92DED6" w:rsidR="006707F0" w:rsidRPr="006707F0" w:rsidRDefault="006707F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-0.79±0.08</m:t>
                </m:r>
              </m:oMath>
            </m:oMathPara>
          </w:p>
        </w:tc>
      </w:tr>
      <w:tr w:rsidR="006707F0" w14:paraId="14C33E2D"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36AB7377" w14:textId="0395C36A" w:rsidR="006707F0" w:rsidRPr="000C22D4" w:rsidRDefault="006707F0" w:rsidP="006707F0">
            <w:pPr>
              <w:jc w:val="center"/>
              <w:rPr>
                <w:b w:val="0"/>
              </w:rPr>
            </w:pPr>
            <w:r>
              <w:rPr>
                <w:b w:val="0"/>
              </w:rPr>
              <w:t xml:space="preserve">Laboratory flame, Ref. </w:t>
            </w:r>
            <w:r w:rsidR="00F900DB" w:rsidRPr="00F900DB">
              <w:rPr>
                <w:b w:val="0"/>
                <w:noProof/>
              </w:rPr>
              <w:t>[28]</w:t>
            </w:r>
            <w:r>
              <w:rPr>
                <w:b w:val="0"/>
              </w:rPr>
              <w:br/>
              <w:t>at 405 nm</w:t>
            </w:r>
          </w:p>
        </w:tc>
        <w:tc>
          <w:tcPr>
            <w:tcW w:w="1224" w:type="dxa"/>
            <w:vAlign w:val="center"/>
          </w:tcPr>
          <w:p w14:paraId="6A796DE6" w14:textId="419B74FC"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4F7A104F" w14:textId="03E3C2AA"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18D074ED" w14:textId="53AFA270"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102273DA" w14:textId="13F782C0"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6707F0" w14:paraId="37E41A97"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21BCE7F6" w14:textId="569E6CB7" w:rsidR="006707F0" w:rsidRPr="000C22D4" w:rsidRDefault="006707F0" w:rsidP="004C0EB6">
            <w:pPr>
              <w:jc w:val="center"/>
              <w:rPr>
                <w:b w:val="0"/>
              </w:rPr>
            </w:pPr>
            <w:r>
              <w:rPr>
                <w:b w:val="0"/>
              </w:rPr>
              <w:t xml:space="preserve">Laboratory flame </w:t>
            </w:r>
            <w:r w:rsidR="004C0EB6">
              <w:rPr>
                <w:b w:val="0"/>
              </w:rPr>
              <w:t xml:space="preserve">Ref. </w:t>
            </w:r>
            <w:r w:rsidR="004C0EB6" w:rsidRPr="00F900DB">
              <w:rPr>
                <w:b w:val="0"/>
                <w:noProof/>
              </w:rPr>
              <w:t>[28]</w:t>
            </w:r>
            <w:r w:rsidR="004C0EB6">
              <w:rPr>
                <w:b w:val="0"/>
              </w:rPr>
              <w:br/>
            </w:r>
            <w:r>
              <w:rPr>
                <w:b w:val="0"/>
              </w:rPr>
              <w:t>at 532 nm</w:t>
            </w:r>
          </w:p>
        </w:tc>
        <w:tc>
          <w:tcPr>
            <w:tcW w:w="1224" w:type="dxa"/>
            <w:vAlign w:val="center"/>
          </w:tcPr>
          <w:p w14:paraId="671B79AC" w14:textId="530FE4D1" w:rsidR="006707F0" w:rsidRDefault="006707F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4.8±3.2</m:t>
                </m:r>
              </m:oMath>
            </m:oMathPara>
          </w:p>
        </w:tc>
        <w:tc>
          <w:tcPr>
            <w:tcW w:w="1275" w:type="dxa"/>
            <w:vAlign w:val="center"/>
          </w:tcPr>
          <w:p w14:paraId="241799E5" w14:textId="5AE84E8A" w:rsidR="006707F0" w:rsidRDefault="006707F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9.0±0.5</m:t>
                </m:r>
              </m:oMath>
            </m:oMathPara>
          </w:p>
        </w:tc>
        <w:tc>
          <w:tcPr>
            <w:tcW w:w="1560" w:type="dxa"/>
            <w:vAlign w:val="center"/>
          </w:tcPr>
          <w:p w14:paraId="3877BAF0" w14:textId="148DFB10" w:rsidR="006707F0" w:rsidRDefault="004C0EB6"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1.7±2.4</m:t>
                </m:r>
              </m:oMath>
            </m:oMathPara>
          </w:p>
        </w:tc>
        <w:tc>
          <w:tcPr>
            <w:tcW w:w="1701" w:type="dxa"/>
            <w:vAlign w:val="center"/>
          </w:tcPr>
          <w:p w14:paraId="644B4D5F" w14:textId="4D73FE45" w:rsidR="006707F0" w:rsidRDefault="006707F0" w:rsidP="004C0EB6">
            <w:pPr>
              <w:jc w:val="center"/>
              <w:cnfStyle w:val="000000000000" w:firstRow="0" w:lastRow="0" w:firstColumn="0" w:lastColumn="0" w:oddVBand="0" w:evenVBand="0" w:oddHBand="0" w:evenHBand="0" w:firstRowFirstColumn="0" w:firstRowLastColumn="0" w:lastRowFirstColumn="0" w:lastRowLastColumn="0"/>
            </w:pPr>
            <m:oMathPara>
              <m:oMath>
                <m:r>
                  <w:rPr>
                    <w:rFonts w:ascii="Cambria Math" w:hAnsi="Cambria Math"/>
                  </w:rPr>
                  <m:t>-0.36±0.63</m:t>
                </m:r>
              </m:oMath>
            </m:oMathPara>
          </w:p>
        </w:tc>
      </w:tr>
      <w:tr w:rsidR="006707F0" w14:paraId="2DBEB613"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49CFCCE5" w14:textId="796080F2" w:rsidR="006707F0" w:rsidRDefault="006707F0" w:rsidP="006707F0">
            <w:pPr>
              <w:jc w:val="center"/>
              <w:rPr>
                <w:b w:val="0"/>
              </w:rPr>
            </w:pPr>
            <w:r>
              <w:rPr>
                <w:b w:val="0"/>
              </w:rPr>
              <w:t>Laboratory flame</w:t>
            </w:r>
            <w:r w:rsidR="004C0EB6">
              <w:rPr>
                <w:b w:val="0"/>
              </w:rPr>
              <w:t xml:space="preserve"> Ref. </w:t>
            </w:r>
            <w:r w:rsidR="004C0EB6" w:rsidRPr="00F900DB">
              <w:rPr>
                <w:b w:val="0"/>
                <w:noProof/>
              </w:rPr>
              <w:t>[28]</w:t>
            </w:r>
            <w:r>
              <w:rPr>
                <w:b w:val="0"/>
              </w:rPr>
              <w:br/>
              <w:t>at 630 nm</w:t>
            </w:r>
          </w:p>
        </w:tc>
        <w:tc>
          <w:tcPr>
            <w:tcW w:w="1224" w:type="dxa"/>
            <w:vAlign w:val="center"/>
          </w:tcPr>
          <w:p w14:paraId="43F45BB6" w14:textId="62092E3F"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275" w:type="dxa"/>
            <w:vAlign w:val="center"/>
          </w:tcPr>
          <w:p w14:paraId="106F2BE3" w14:textId="15401E1A"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560" w:type="dxa"/>
            <w:vAlign w:val="center"/>
          </w:tcPr>
          <w:p w14:paraId="13F363FB" w14:textId="57CF7E8C"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c>
          <w:tcPr>
            <w:tcW w:w="1701" w:type="dxa"/>
            <w:vAlign w:val="center"/>
          </w:tcPr>
          <w:p w14:paraId="7B4F56B7" w14:textId="4E36960D" w:rsidR="006707F0" w:rsidRDefault="006707F0" w:rsidP="006707F0">
            <w:pPr>
              <w:jc w:val="center"/>
              <w:cnfStyle w:val="000000000000" w:firstRow="0" w:lastRow="0" w:firstColumn="0" w:lastColumn="0" w:oddVBand="0" w:evenVBand="0" w:oddHBand="0" w:evenHBand="0" w:firstRowFirstColumn="0" w:firstRowLastColumn="0" w:lastRowFirstColumn="0" w:lastRowLastColumn="0"/>
            </w:pPr>
            <w:proofErr w:type="spellStart"/>
            <w:r w:rsidRPr="00A92EE8">
              <w:rPr>
                <w:sz w:val="20"/>
              </w:rPr>
              <w:t>n.f</w:t>
            </w:r>
            <w:proofErr w:type="spellEnd"/>
            <w:r w:rsidRPr="00A92EE8">
              <w:rPr>
                <w:sz w:val="20"/>
              </w:rPr>
              <w:t>.</w:t>
            </w:r>
          </w:p>
        </w:tc>
      </w:tr>
      <w:tr w:rsidR="00C77E48" w14:paraId="56853EAB"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181C0AA0" w14:textId="24DCB779" w:rsidR="00C77E48" w:rsidRPr="004C0EB6" w:rsidRDefault="00C77E48" w:rsidP="00C77E48">
            <w:pPr>
              <w:jc w:val="center"/>
              <w:rPr>
                <w:b w:val="0"/>
              </w:rPr>
            </w:pPr>
            <w:r>
              <w:rPr>
                <w:b w:val="0"/>
              </w:rPr>
              <w:t xml:space="preserve">Laboratory flame, Ref. </w:t>
            </w:r>
            <w:r w:rsidRPr="00F900DB">
              <w:rPr>
                <w:b w:val="0"/>
                <w:noProof/>
              </w:rPr>
              <w:t>[29]</w:t>
            </w:r>
          </w:p>
        </w:tc>
        <w:tc>
          <w:tcPr>
            <w:tcW w:w="1224" w:type="dxa"/>
            <w:vAlign w:val="center"/>
          </w:tcPr>
          <w:p w14:paraId="06D068A1" w14:textId="3B894818"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rsidRPr="005224DA">
              <w:rPr>
                <w:sz w:val="20"/>
              </w:rPr>
              <w:t>n.f</w:t>
            </w:r>
            <w:proofErr w:type="spellEnd"/>
            <w:r w:rsidRPr="005224DA">
              <w:rPr>
                <w:sz w:val="20"/>
              </w:rPr>
              <w:t>.</w:t>
            </w:r>
          </w:p>
        </w:tc>
        <w:tc>
          <w:tcPr>
            <w:tcW w:w="1275" w:type="dxa"/>
            <w:vAlign w:val="center"/>
          </w:tcPr>
          <w:p w14:paraId="044AAD6D" w14:textId="1C9F8B6D"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rsidRPr="005224DA">
              <w:rPr>
                <w:sz w:val="20"/>
              </w:rPr>
              <w:t>n.f</w:t>
            </w:r>
            <w:proofErr w:type="spellEnd"/>
            <w:r w:rsidRPr="005224DA">
              <w:rPr>
                <w:sz w:val="20"/>
              </w:rPr>
              <w:t>.</w:t>
            </w:r>
          </w:p>
        </w:tc>
        <w:tc>
          <w:tcPr>
            <w:tcW w:w="1560" w:type="dxa"/>
            <w:vAlign w:val="center"/>
          </w:tcPr>
          <w:p w14:paraId="3FEBE645" w14:textId="2FB48BBF"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rsidRPr="005224DA">
              <w:rPr>
                <w:sz w:val="20"/>
              </w:rPr>
              <w:t>n.f</w:t>
            </w:r>
            <w:proofErr w:type="spellEnd"/>
            <w:r w:rsidRPr="005224DA">
              <w:rPr>
                <w:sz w:val="20"/>
              </w:rPr>
              <w:t>.</w:t>
            </w:r>
          </w:p>
        </w:tc>
        <w:tc>
          <w:tcPr>
            <w:tcW w:w="1701" w:type="dxa"/>
            <w:vAlign w:val="center"/>
          </w:tcPr>
          <w:p w14:paraId="57EDBD55" w14:textId="3C61EC3D"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rsidRPr="005224DA">
              <w:rPr>
                <w:sz w:val="20"/>
              </w:rPr>
              <w:t>n.f</w:t>
            </w:r>
            <w:proofErr w:type="spellEnd"/>
            <w:r w:rsidRPr="005224DA">
              <w:rPr>
                <w:sz w:val="20"/>
              </w:rPr>
              <w:t>.</w:t>
            </w:r>
          </w:p>
        </w:tc>
      </w:tr>
      <w:tr w:rsidR="00C77E48" w14:paraId="45B54E95" w14:textId="77777777" w:rsidTr="004C0EB6">
        <w:tc>
          <w:tcPr>
            <w:cnfStyle w:val="001000000000" w:firstRow="0" w:lastRow="0" w:firstColumn="1" w:lastColumn="0" w:oddVBand="0" w:evenVBand="0" w:oddHBand="0" w:evenHBand="0" w:firstRowFirstColumn="0" w:firstRowLastColumn="0" w:lastRowFirstColumn="0" w:lastRowLastColumn="0"/>
            <w:tcW w:w="3171" w:type="dxa"/>
          </w:tcPr>
          <w:p w14:paraId="588343F9" w14:textId="7E1F9A7B" w:rsidR="00C77E48" w:rsidRDefault="00C77E48" w:rsidP="00C77E48">
            <w:pPr>
              <w:jc w:val="center"/>
              <w:rPr>
                <w:b w:val="0"/>
              </w:rPr>
            </w:pPr>
            <w:r>
              <w:rPr>
                <w:b w:val="0"/>
              </w:rPr>
              <w:t>Laboratory flame Ref. [30]</w:t>
            </w:r>
          </w:p>
        </w:tc>
        <w:tc>
          <w:tcPr>
            <w:tcW w:w="1224" w:type="dxa"/>
            <w:vAlign w:val="center"/>
          </w:tcPr>
          <w:p w14:paraId="3ED39C45" w14:textId="1D76617D"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t>n.f</w:t>
            </w:r>
            <w:proofErr w:type="spellEnd"/>
            <w:r>
              <w:t>.</w:t>
            </w:r>
          </w:p>
        </w:tc>
        <w:tc>
          <w:tcPr>
            <w:tcW w:w="1275" w:type="dxa"/>
            <w:vAlign w:val="center"/>
          </w:tcPr>
          <w:p w14:paraId="571EE3B9" w14:textId="6186B52D"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t>n.f</w:t>
            </w:r>
            <w:proofErr w:type="spellEnd"/>
            <w:r>
              <w:t>.</w:t>
            </w:r>
          </w:p>
        </w:tc>
        <w:tc>
          <w:tcPr>
            <w:tcW w:w="1560" w:type="dxa"/>
            <w:vAlign w:val="center"/>
          </w:tcPr>
          <w:p w14:paraId="5713162F" w14:textId="07E1651B"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t>n.f</w:t>
            </w:r>
            <w:proofErr w:type="spellEnd"/>
            <w:r>
              <w:t>.</w:t>
            </w:r>
          </w:p>
        </w:tc>
        <w:tc>
          <w:tcPr>
            <w:tcW w:w="1701" w:type="dxa"/>
            <w:vAlign w:val="center"/>
          </w:tcPr>
          <w:p w14:paraId="1246EB15" w14:textId="6CF0638B" w:rsidR="00C77E48" w:rsidRDefault="00C77E48" w:rsidP="00C77E48">
            <w:pPr>
              <w:jc w:val="center"/>
              <w:cnfStyle w:val="000000000000" w:firstRow="0" w:lastRow="0" w:firstColumn="0" w:lastColumn="0" w:oddVBand="0" w:evenVBand="0" w:oddHBand="0" w:evenHBand="0" w:firstRowFirstColumn="0" w:firstRowLastColumn="0" w:lastRowFirstColumn="0" w:lastRowLastColumn="0"/>
            </w:pPr>
            <w:proofErr w:type="spellStart"/>
            <w:r>
              <w:t>n.f</w:t>
            </w:r>
            <w:proofErr w:type="spellEnd"/>
            <w:r>
              <w:t>.</w:t>
            </w:r>
          </w:p>
        </w:tc>
      </w:tr>
    </w:tbl>
    <w:p w14:paraId="4590AF0B" w14:textId="028062B8" w:rsidR="00982A84" w:rsidRPr="007D4820" w:rsidRDefault="00BF6C90" w:rsidP="00BF6C90">
      <w:pPr>
        <w:pStyle w:val="Footnotes"/>
      </w:pPr>
      <w:r>
        <w:t>Fitted over single-particle mass ranges of (</w:t>
      </w:r>
      <w:r w:rsidRPr="00BF6C90">
        <w:t>a</w:t>
      </w:r>
      <w:r>
        <w:t xml:space="preserve">) </w:t>
      </w:r>
      <w:r w:rsidR="00FA6B87">
        <w:t>0.07 to 2.9 </w:t>
      </w:r>
      <w:proofErr w:type="spellStart"/>
      <w:r w:rsidR="00FA6B87">
        <w:t>fg</w:t>
      </w:r>
      <w:proofErr w:type="spellEnd"/>
      <w:r w:rsidR="00FA6B87">
        <w:t xml:space="preserve">, (b) </w:t>
      </w:r>
      <w:r>
        <w:t xml:space="preserve">0.3 to 13.9 </w:t>
      </w:r>
      <w:proofErr w:type="spellStart"/>
      <w:r>
        <w:t>fg</w:t>
      </w:r>
      <w:proofErr w:type="spellEnd"/>
      <w:r>
        <w:t>, (</w:t>
      </w:r>
      <w:r w:rsidR="00FA6B87">
        <w:t>c</w:t>
      </w:r>
      <w:r>
        <w:t xml:space="preserve">) </w:t>
      </w:r>
      <w:r w:rsidR="00FA6B87">
        <w:t xml:space="preserve">0.05 to 7.2 </w:t>
      </w:r>
      <w:proofErr w:type="spellStart"/>
      <w:r w:rsidR="00FA6B87">
        <w:t>fg</w:t>
      </w:r>
      <w:proofErr w:type="spellEnd"/>
      <w:r w:rsidR="00FA6B87">
        <w:t xml:space="preserve">, (d) </w:t>
      </w:r>
      <w:r w:rsidR="00C06342">
        <w:t>0.2 to 9</w:t>
      </w:r>
      <w:proofErr w:type="gramStart"/>
      <w:r w:rsidR="00C06342">
        <w:t>,1</w:t>
      </w:r>
      <w:proofErr w:type="gramEnd"/>
      <w:r w:rsidR="00C06342">
        <w:t> </w:t>
      </w:r>
      <w:proofErr w:type="spellStart"/>
      <w:r w:rsidR="00C06342">
        <w:t>fg</w:t>
      </w:r>
      <w:proofErr w:type="spellEnd"/>
      <w:r w:rsidR="00C06342">
        <w:t>.</w:t>
      </w:r>
    </w:p>
    <w:p w14:paraId="3AE0E62B" w14:textId="0B8DE8A8" w:rsidR="000D6B0B" w:rsidRDefault="0057240C" w:rsidP="00245812">
      <w:pPr>
        <w:pStyle w:val="SIHeading1"/>
      </w:pPr>
      <w:r>
        <w:lastRenderedPageBreak/>
        <w:t>Supplementary figures</w:t>
      </w:r>
    </w:p>
    <w:p w14:paraId="59238BDF" w14:textId="273986CF" w:rsidR="007B627F" w:rsidRPr="0094466A" w:rsidRDefault="00D3273B" w:rsidP="00FA4558">
      <w:pPr>
        <w:pStyle w:val="Paragraph"/>
        <w:jc w:val="center"/>
      </w:pPr>
      <w:r w:rsidRPr="00D3273B">
        <w:rPr>
          <w:noProof/>
          <w:lang w:val="en-US" w:eastAsia="en-US"/>
        </w:rPr>
        <w:drawing>
          <wp:inline distT="0" distB="0" distL="0" distR="0" wp14:anchorId="5DB76E4C" wp14:editId="6E5BAFB6">
            <wp:extent cx="3483076" cy="3736843"/>
            <wp:effectExtent l="0" t="0" r="3175" b="0"/>
            <wp:docPr id="4" name="Picture 4" descr="Z:\NRC\projects\2020_Derby\UDAC conversion\Tyler\Demo graphs\Tylers\20210104 CPMA_Electrometer_Inputs jcc_V9_SMPSnDiesel3_900_Zoomed_Fig_915_2_dN_dlogm_Zoo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NRC\projects\2020_Derby\UDAC conversion\Tyler\Demo graphs\Tylers\20210104 CPMA_Electrometer_Inputs jcc_V9_SMPSnDiesel3_900_Zoomed_Fig_915_2_dN_dlogm_Zoome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7818" cy="3741931"/>
                    </a:xfrm>
                    <a:prstGeom prst="rect">
                      <a:avLst/>
                    </a:prstGeom>
                    <a:noFill/>
                    <a:ln>
                      <a:noFill/>
                    </a:ln>
                  </pic:spPr>
                </pic:pic>
              </a:graphicData>
            </a:graphic>
          </wp:inline>
        </w:drawing>
      </w:r>
    </w:p>
    <w:p w14:paraId="43B9E079" w14:textId="7339A898" w:rsidR="007B627F" w:rsidRDefault="00572AC5" w:rsidP="007B627F">
      <w:pPr>
        <w:pStyle w:val="Figurecaption"/>
      </w:pPr>
      <w:bookmarkStart w:id="17" w:name="_Ref72911249"/>
      <w:bookmarkStart w:id="18" w:name="_Ref70084821"/>
      <w:bookmarkStart w:id="19" w:name="_Ref65580403"/>
      <w:r>
        <w:t>Figure S</w:t>
      </w:r>
      <w:r w:rsidR="003E052F">
        <w:rPr>
          <w:noProof/>
        </w:rPr>
        <w:t>1</w:t>
      </w:r>
      <w:bookmarkEnd w:id="17"/>
      <w:bookmarkEnd w:id="18"/>
      <w:r>
        <w:t>.</w:t>
      </w:r>
      <w:bookmarkEnd w:id="19"/>
      <w:r>
        <w:t xml:space="preserve"> </w:t>
      </w:r>
      <w:r w:rsidR="007B627F">
        <w:t xml:space="preserve">A representative </w:t>
      </w:r>
      <w:r w:rsidR="00D3273B">
        <w:t xml:space="preserve">mass </w:t>
      </w:r>
      <w:r w:rsidR="007B627F">
        <w:t xml:space="preserve">distribution </w:t>
      </w:r>
      <w:r w:rsidR="00203E1D">
        <w:t>for</w:t>
      </w:r>
      <w:r w:rsidR="007B627F">
        <w:t xml:space="preserve"> particle</w:t>
      </w:r>
      <w:r w:rsidR="00203E1D">
        <w:t>s</w:t>
      </w:r>
      <w:r w:rsidR="007B627F">
        <w:t xml:space="preserve"> transmitted through the CPMA after the UDAC. The example shows the </w:t>
      </w:r>
      <w:r w:rsidR="00FA4558">
        <w:t xml:space="preserve">input mass distribution (black line) and output </w:t>
      </w:r>
      <w:r w:rsidR="00D3273B">
        <w:t>mass distributions</w:t>
      </w:r>
      <w:r w:rsidR="007B627F">
        <w:t xml:space="preserve"> of particles with </w:t>
      </w:r>
      <m:oMath>
        <m:r>
          <w:rPr>
            <w:rFonts w:ascii="Cambria Math" w:hAnsi="Cambria Math"/>
          </w:rPr>
          <m:t>1&lt;q&lt;15</m:t>
        </m:r>
      </m:oMath>
      <w:r w:rsidR="007B627F">
        <w:t xml:space="preserve"> for miniCAST-D particles with </w:t>
      </w:r>
      <m:oMath>
        <m:r>
          <w:rPr>
            <w:rFonts w:ascii="Cambria Math" w:hAnsi="Cambria Math"/>
          </w:rPr>
          <m:t>m/q=0.1</m:t>
        </m:r>
      </m:oMath>
      <w:r w:rsidR="007B627F">
        <w:t> fg/e at a CPMA resolution of 3</w:t>
      </w:r>
      <w:r w:rsidR="004D3296">
        <w:t xml:space="preserve"> and UDAC </w:t>
      </w:r>
      <w:proofErr w:type="spellStart"/>
      <w:r w:rsidR="004D3296">
        <w:t>setpoint</w:t>
      </w:r>
      <w:proofErr w:type="spellEnd"/>
      <w:r w:rsidR="004D3296">
        <w:t xml:space="preserve"> of 4.2 × 10</w:t>
      </w:r>
      <w:r w:rsidR="004D3296">
        <w:rPr>
          <w:vertAlign w:val="superscript"/>
        </w:rPr>
        <w:t>13</w:t>
      </w:r>
      <w:r w:rsidR="004D3296">
        <w:t xml:space="preserve"> </w:t>
      </w:r>
      <w:proofErr w:type="spellStart"/>
      <w:r w:rsidR="004D3296">
        <w:t>ions⋅s</w:t>
      </w:r>
      <w:proofErr w:type="spellEnd"/>
      <w:r w:rsidR="004D3296">
        <w:t>/m</w:t>
      </w:r>
      <w:r w:rsidR="004D3296">
        <w:rPr>
          <w:vertAlign w:val="superscript"/>
        </w:rPr>
        <w:t>3</w:t>
      </w:r>
      <w:r w:rsidR="007B627F">
        <w:t>.</w:t>
      </w:r>
      <w:r w:rsidR="00FA4558">
        <w:t xml:space="preserve"> </w:t>
      </w:r>
      <w:r w:rsidR="00D3273B">
        <w:t xml:space="preserve">The sum of all outputs may be </w:t>
      </w:r>
      <w:r w:rsidR="00D22981">
        <w:t>approximated</w:t>
      </w:r>
      <w:r w:rsidR="00D3273B">
        <w:t xml:space="preserve"> as a </w:t>
      </w:r>
      <w:r w:rsidR="00D22981">
        <w:t>lognormal</w:t>
      </w:r>
      <w:r w:rsidR="00D3273B">
        <w:t xml:space="preserve"> distribution</w:t>
      </w:r>
      <w:r w:rsidR="00E209D3">
        <w:t>.</w:t>
      </w:r>
    </w:p>
    <w:p w14:paraId="10E81F1A" w14:textId="77777777" w:rsidR="00785ED3" w:rsidRDefault="00785ED3" w:rsidP="005224DA"/>
    <w:p w14:paraId="5F9769F6" w14:textId="411FA841" w:rsidR="00785ED3" w:rsidRPr="00A14CAC" w:rsidRDefault="00D95FCC" w:rsidP="00785ED3">
      <w:r w:rsidRPr="00D95FCC">
        <w:rPr>
          <w:noProof/>
          <w:lang w:val="en-US" w:eastAsia="en-US"/>
        </w:rPr>
        <w:lastRenderedPageBreak/>
        <w:drawing>
          <wp:inline distT="0" distB="0" distL="0" distR="0" wp14:anchorId="4CB42F64" wp14:editId="2E5192C2">
            <wp:extent cx="5396865" cy="45926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6865" cy="4592670"/>
                    </a:xfrm>
                    <a:prstGeom prst="rect">
                      <a:avLst/>
                    </a:prstGeom>
                    <a:noFill/>
                    <a:ln>
                      <a:noFill/>
                    </a:ln>
                  </pic:spPr>
                </pic:pic>
              </a:graphicData>
            </a:graphic>
          </wp:inline>
        </w:drawing>
      </w:r>
    </w:p>
    <w:p w14:paraId="4EC8E546" w14:textId="4B785704" w:rsidR="00785ED3" w:rsidRDefault="00785ED3" w:rsidP="00785ED3">
      <w:pPr>
        <w:pStyle w:val="Figurecaption"/>
      </w:pPr>
      <w:bookmarkStart w:id="20" w:name="_Ref86231965"/>
      <w:r>
        <w:t>Figure S</w:t>
      </w:r>
      <w:r w:rsidR="003E052F">
        <w:rPr>
          <w:noProof/>
        </w:rPr>
        <w:t>2</w:t>
      </w:r>
      <w:bookmarkEnd w:id="20"/>
      <w:r>
        <w:t>. MAC</w:t>
      </w:r>
      <w:r>
        <w:rPr>
          <w:vertAlign w:val="subscript"/>
        </w:rPr>
        <w:t>550nm</w:t>
      </w:r>
      <w:r>
        <w:t xml:space="preserve"> calculated using the three </w:t>
      </w:r>
      <w:r w:rsidR="004203DC">
        <w:t>average-single-particle-mass</w:t>
      </w:r>
      <w:r>
        <w:t xml:space="preserve"> </w:t>
      </w:r>
      <w:r w:rsidR="004203DC">
        <w:t xml:space="preserve">approaches </w:t>
      </w:r>
      <w:r>
        <w:t>for the CAPS PM</w:t>
      </w:r>
      <w:r w:rsidRPr="000B502F">
        <w:rPr>
          <w:vertAlign w:val="subscript"/>
        </w:rPr>
        <w:t>SSA</w:t>
      </w:r>
      <w:r>
        <w:t xml:space="preserve"> data measured at 660 nm. Some error bars are omitted for clarity. Fewer data points are available through the system of equations for the statistical reasons described in the text. Therefore, other figures in this work used the second data set (average mass from </w:t>
      </w:r>
      <w:r w:rsidR="004203DC">
        <w:t>charge-and-mass distributions, with minimal assumptions</w:t>
      </w:r>
      <w:r>
        <w:t xml:space="preserve">). </w:t>
      </w:r>
    </w:p>
    <w:p w14:paraId="20EB8AC7" w14:textId="77777777" w:rsidR="00785ED3" w:rsidRPr="00785ED3" w:rsidRDefault="00785ED3" w:rsidP="005224DA"/>
    <w:p w14:paraId="0350AB00" w14:textId="03320A98" w:rsidR="00AC27B6" w:rsidRPr="0094466A" w:rsidRDefault="00771439" w:rsidP="00AC27B6">
      <w:pPr>
        <w:pStyle w:val="Paragraph"/>
      </w:pPr>
      <w:r w:rsidRPr="00771439">
        <w:rPr>
          <w:noProof/>
          <w:lang w:val="en-US" w:eastAsia="en-US"/>
        </w:rPr>
        <w:lastRenderedPageBreak/>
        <w:drawing>
          <wp:inline distT="0" distB="0" distL="0" distR="0" wp14:anchorId="621223E6" wp14:editId="3DEEB636">
            <wp:extent cx="5396865" cy="5233650"/>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6865" cy="5233650"/>
                    </a:xfrm>
                    <a:prstGeom prst="rect">
                      <a:avLst/>
                    </a:prstGeom>
                    <a:noFill/>
                    <a:ln>
                      <a:noFill/>
                    </a:ln>
                  </pic:spPr>
                </pic:pic>
              </a:graphicData>
            </a:graphic>
          </wp:inline>
        </w:drawing>
      </w:r>
      <w:r w:rsidR="00AC27B6" w:rsidRPr="00AC27B6">
        <w:t xml:space="preserve"> </w:t>
      </w:r>
    </w:p>
    <w:p w14:paraId="48BCC86F" w14:textId="3DDC65C0" w:rsidR="00AC27B6" w:rsidRDefault="00AC27B6" w:rsidP="00AC27B6">
      <w:pPr>
        <w:pStyle w:val="Figurecaption"/>
      </w:pPr>
      <w:bookmarkStart w:id="21" w:name="_Ref67931009"/>
      <w:bookmarkStart w:id="22" w:name="_Ref67930802"/>
      <w:r>
        <w:t>Figure S</w:t>
      </w:r>
      <w:r w:rsidR="003E052F">
        <w:rPr>
          <w:noProof/>
        </w:rPr>
        <w:t>3</w:t>
      </w:r>
      <w:bookmarkEnd w:id="21"/>
      <w:r>
        <w:t xml:space="preserve">. </w:t>
      </w:r>
      <w:bookmarkEnd w:id="22"/>
      <w:r>
        <w:t xml:space="preserve">Similar to </w:t>
      </w:r>
      <w:r w:rsidR="003E052F">
        <w:t>Figure S</w:t>
      </w:r>
      <w:r w:rsidR="003E052F">
        <w:rPr>
          <w:noProof/>
        </w:rPr>
        <w:t>1</w:t>
      </w:r>
      <w:r w:rsidR="00771439">
        <w:t xml:space="preserve"> </w:t>
      </w:r>
      <w:r>
        <w:t xml:space="preserve">but for all CPMA </w:t>
      </w:r>
      <w:proofErr w:type="spellStart"/>
      <w:r>
        <w:t>setpoints</w:t>
      </w:r>
      <w:proofErr w:type="spellEnd"/>
      <w:r>
        <w:t xml:space="preserve"> in the </w:t>
      </w:r>
      <w:r w:rsidR="00BC6DD4">
        <w:t>Diesel generator</w:t>
      </w:r>
      <w:r>
        <w:t xml:space="preserve"> experiment. The CPMA </w:t>
      </w:r>
      <w:proofErr w:type="spellStart"/>
      <w:r w:rsidR="00BC6DD4">
        <w:t>setpoint</w:t>
      </w:r>
      <w:proofErr w:type="spellEnd"/>
      <w:r w:rsidR="00BC6DD4">
        <w:t xml:space="preserve"> is illustrated by the intercept of the curves on the ordinate axis and is </w:t>
      </w:r>
      <w:r w:rsidR="00B17F2B">
        <w:t xml:space="preserve">between </w:t>
      </w:r>
      <w:r w:rsidR="00BC6DD4">
        <w:t xml:space="preserve">0.05 </w:t>
      </w:r>
      <w:r w:rsidR="00B17F2B">
        <w:t xml:space="preserve">and </w:t>
      </w:r>
      <w:r w:rsidR="00BC6DD4">
        <w:t xml:space="preserve">0.30 </w:t>
      </w:r>
      <w:proofErr w:type="spellStart"/>
      <w:r w:rsidR="00BC6DD4">
        <w:t>fg</w:t>
      </w:r>
      <w:proofErr w:type="spellEnd"/>
      <w:r w:rsidR="00BC6DD4">
        <w:t>/e</w:t>
      </w:r>
      <w:r>
        <w:t>.</w:t>
      </w:r>
      <w:r w:rsidR="00BC6DD4">
        <w:t xml:space="preserve"> The probability distribution of charges is shown by each curve. The mean charge is shown by the values on the right.</w:t>
      </w:r>
    </w:p>
    <w:p w14:paraId="747BC1D2" w14:textId="3A08D916" w:rsidR="00AC27B6" w:rsidRPr="00AC27B6" w:rsidRDefault="00AC27B6" w:rsidP="00AC27B6"/>
    <w:p w14:paraId="51F4FFDE" w14:textId="40ADC9C2" w:rsidR="0094466A" w:rsidRPr="0094466A" w:rsidRDefault="00F803CF" w:rsidP="00F803CF">
      <w:pPr>
        <w:pStyle w:val="Paragraph"/>
        <w:jc w:val="center"/>
      </w:pPr>
      <w:r w:rsidRPr="00F803CF">
        <w:rPr>
          <w:noProof/>
          <w:lang w:val="en-US" w:eastAsia="en-US"/>
        </w:rPr>
        <w:lastRenderedPageBreak/>
        <w:drawing>
          <wp:inline distT="0" distB="0" distL="0" distR="0" wp14:anchorId="22481C7D" wp14:editId="382DDE6F">
            <wp:extent cx="4813300" cy="479615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13300" cy="4796155"/>
                    </a:xfrm>
                    <a:prstGeom prst="rect">
                      <a:avLst/>
                    </a:prstGeom>
                    <a:noFill/>
                    <a:ln>
                      <a:noFill/>
                    </a:ln>
                  </pic:spPr>
                </pic:pic>
              </a:graphicData>
            </a:graphic>
          </wp:inline>
        </w:drawing>
      </w:r>
    </w:p>
    <w:p w14:paraId="6FF43B23" w14:textId="2577DD70" w:rsidR="0094466A" w:rsidRDefault="0094466A" w:rsidP="0094466A">
      <w:pPr>
        <w:pStyle w:val="Figurecaption"/>
      </w:pPr>
      <w:bookmarkStart w:id="23" w:name="_Ref73538291"/>
      <w:r w:rsidRPr="00203E1D">
        <w:t xml:space="preserve">Figure </w:t>
      </w:r>
      <w:r w:rsidR="00AC27B6" w:rsidRPr="00203E1D">
        <w:t>S</w:t>
      </w:r>
      <w:r w:rsidR="003E052F">
        <w:rPr>
          <w:noProof/>
        </w:rPr>
        <w:t>4</w:t>
      </w:r>
      <w:bookmarkEnd w:id="23"/>
      <w:r w:rsidR="00AC27B6" w:rsidRPr="00203E1D">
        <w:t xml:space="preserve">. </w:t>
      </w:r>
      <w:r w:rsidRPr="00203E1D">
        <w:t>Comparison of the mean CPMA-transmitted single-particle mass from the iterative</w:t>
      </w:r>
      <w:r w:rsidR="00203E1D" w:rsidRPr="00203E1D">
        <w:t>-average-charge</w:t>
      </w:r>
      <w:r w:rsidRPr="00203E1D">
        <w:t xml:space="preserve"> </w:t>
      </w:r>
      <w:r w:rsidR="00B63A9B">
        <w:t xml:space="preserve">(IAC) </w:t>
      </w:r>
      <w:r w:rsidRPr="00203E1D">
        <w:t xml:space="preserve">method and the </w:t>
      </w:r>
      <w:r w:rsidR="00203E1D" w:rsidRPr="00203E1D">
        <w:t>average single-particle mass methods</w:t>
      </w:r>
      <w:r w:rsidRPr="00203E1D">
        <w:t>.</w:t>
      </w:r>
    </w:p>
    <w:p w14:paraId="34D39AE2" w14:textId="77777777" w:rsidR="00654D55" w:rsidRDefault="00654D55" w:rsidP="0094466A">
      <w:pPr>
        <w:pStyle w:val="Paragraph"/>
      </w:pPr>
    </w:p>
    <w:p w14:paraId="2E9E9C9A" w14:textId="04D32578" w:rsidR="000057A9" w:rsidRDefault="003E052F" w:rsidP="00B84F15">
      <w:pPr>
        <w:jc w:val="center"/>
      </w:pPr>
      <w:r w:rsidRPr="003E052F">
        <w:rPr>
          <w:noProof/>
          <w:lang w:val="en-US" w:eastAsia="en-US"/>
        </w:rPr>
        <w:lastRenderedPageBreak/>
        <w:drawing>
          <wp:inline distT="0" distB="0" distL="0" distR="0" wp14:anchorId="6C72418C" wp14:editId="4DEB6132">
            <wp:extent cx="4286597" cy="396826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90628" cy="3971993"/>
                    </a:xfrm>
                    <a:prstGeom prst="rect">
                      <a:avLst/>
                    </a:prstGeom>
                    <a:noFill/>
                    <a:ln>
                      <a:noFill/>
                    </a:ln>
                  </pic:spPr>
                </pic:pic>
              </a:graphicData>
            </a:graphic>
          </wp:inline>
        </w:drawing>
      </w:r>
    </w:p>
    <w:p w14:paraId="15EA8A6D" w14:textId="3024F96D" w:rsidR="000057A9" w:rsidRDefault="000057A9" w:rsidP="000057A9">
      <w:pPr>
        <w:pStyle w:val="Figurecaption"/>
      </w:pPr>
      <w:bookmarkStart w:id="24" w:name="_Ref93589323"/>
      <w:r>
        <w:t>Figure S</w:t>
      </w:r>
      <w:r w:rsidR="003E052F">
        <w:rPr>
          <w:noProof/>
        </w:rPr>
        <w:t>5</w:t>
      </w:r>
      <w:bookmarkEnd w:id="24"/>
      <w:r>
        <w:t xml:space="preserve">. </w:t>
      </w:r>
      <w:r w:rsidR="008C1E64">
        <w:t xml:space="preserve">Band-gap energies </w:t>
      </w:r>
      <m:oMath>
        <m:sSub>
          <m:sSubPr>
            <m:ctrlPr>
              <w:rPr>
                <w:rFonts w:ascii="Cambria Math" w:hAnsi="Cambria Math"/>
                <w:i/>
              </w:rPr>
            </m:ctrlPr>
          </m:sSubPr>
          <m:e>
            <m:r>
              <w:rPr>
                <w:rFonts w:ascii="Cambria Math" w:hAnsi="Cambria Math"/>
              </w:rPr>
              <m:t>E</m:t>
            </m:r>
          </m:e>
          <m:sub>
            <m:r>
              <w:rPr>
                <w:rFonts w:ascii="Cambria Math" w:hAnsi="Cambria Math"/>
              </w:rPr>
              <m:t>g</m:t>
            </m:r>
          </m:sub>
        </m:sSub>
      </m:oMath>
      <w:r w:rsidR="008C1E64">
        <w:t xml:space="preserve"> (</w:t>
      </w:r>
      <w:r>
        <w:t>lower panel</w:t>
      </w:r>
      <w:r w:rsidR="008C1E64">
        <w:t>)</w:t>
      </w:r>
      <w:r>
        <w:t xml:space="preserve"> </w:t>
      </w:r>
      <w:r w:rsidR="008C1E64">
        <w:t xml:space="preserve">and absorption functions </w:t>
      </w:r>
      <m:oMath>
        <m:r>
          <w:rPr>
            <w:rFonts w:ascii="Cambria Math" w:hAnsi="Cambria Math"/>
          </w:rPr>
          <m:t>E(m)</m:t>
        </m:r>
      </m:oMath>
      <w:r w:rsidR="008C1E64">
        <w:t xml:space="preserve"> (</w:t>
      </w:r>
      <w:r>
        <w:t>upper panel</w:t>
      </w:r>
      <w:r w:rsidR="008C1E64">
        <w:t>)</w:t>
      </w:r>
      <w:r>
        <w:t xml:space="preserve"> </w:t>
      </w:r>
      <w:r w:rsidR="008C1E64">
        <w:t xml:space="preserve">corresponding to the measurements discussed in the main text. The vertical pink lines highlight the range of reported size-dependent MACs shown in </w:t>
      </w:r>
      <w:r w:rsidR="003E052F">
        <w:t xml:space="preserve">Figure </w:t>
      </w:r>
      <w:r w:rsidR="003E052F">
        <w:rPr>
          <w:noProof/>
        </w:rPr>
        <w:t>5</w:t>
      </w:r>
      <w:r w:rsidR="008C1E64">
        <w:t>. All curves were</w:t>
      </w:r>
      <w:r>
        <w:t xml:space="preserve"> calculated with Equations </w:t>
      </w:r>
      <w:r w:rsidR="003E052F">
        <w:rPr>
          <w:noProof/>
        </w:rPr>
        <w:t>8</w:t>
      </w:r>
      <w:r>
        <w:t xml:space="preserve">, </w:t>
      </w:r>
      <w:r w:rsidR="003E052F">
        <w:rPr>
          <w:noProof/>
        </w:rPr>
        <w:t>9</w:t>
      </w:r>
      <w:r>
        <w:t xml:space="preserve">, and </w:t>
      </w:r>
      <w:r w:rsidR="003E052F">
        <w:rPr>
          <w:noProof/>
        </w:rPr>
        <w:t>10</w:t>
      </w:r>
      <w:proofErr w:type="gramStart"/>
      <w:r>
        <w:t>,  s</w:t>
      </w:r>
      <w:r w:rsidR="003E052F">
        <w:t>imilar</w:t>
      </w:r>
      <w:proofErr w:type="gramEnd"/>
      <w:r>
        <w:t xml:space="preserve"> to Ref. </w:t>
      </w:r>
      <w:r w:rsidRPr="00F900DB">
        <w:rPr>
          <w:noProof/>
        </w:rPr>
        <w:t>[39]</w:t>
      </w:r>
      <w:r w:rsidR="008F57B1">
        <w:t xml:space="preserve">, RI </w:t>
      </w:r>
      <m:oMath>
        <m:r>
          <w:rPr>
            <w:rFonts w:ascii="Cambria Math" w:hAnsi="Cambria Math"/>
          </w:rPr>
          <m:t>1.66+0.76i</m:t>
        </m:r>
      </m:oMath>
      <w:r w:rsidR="008F57B1">
        <w:t>,</w:t>
      </w:r>
      <w:r w:rsidR="00E30837">
        <w:t xml:space="preserve"> and</w:t>
      </w:r>
      <w:r w:rsidR="008C1E64">
        <w:t xml:space="preserve"> </w:t>
      </w:r>
      <m:oMath>
        <m:r>
          <w:rPr>
            <w:rFonts w:ascii="Cambria Math" w:hAnsi="Cambria Math"/>
          </w:rPr>
          <m:t>h=1.14</m:t>
        </m:r>
      </m:oMath>
      <w:r w:rsidR="00E30837">
        <w:t xml:space="preserve"> as calculated from the GMM-1 and RDG-0 models (main text). T</w:t>
      </w:r>
      <w:r w:rsidR="008C1E64">
        <w:t xml:space="preserve">he three sets of curves represent different assumptions about particle density </w:t>
      </w:r>
      <w:r>
        <w:t>in Equation </w:t>
      </w:r>
      <w:r w:rsidR="003E052F">
        <w:rPr>
          <w:noProof/>
        </w:rPr>
        <w:t>8</w:t>
      </w:r>
      <w:r w:rsidR="008C1E64">
        <w:t xml:space="preserve">. In particular, </w:t>
      </w:r>
      <w:r>
        <w:t xml:space="preserve">the </w:t>
      </w:r>
      <w:r w:rsidR="008C1E64">
        <w:t xml:space="preserve">curves assume the </w:t>
      </w:r>
      <w:r>
        <w:t xml:space="preserve">density of mature soot, nascent (young) soot, </w:t>
      </w:r>
      <w:r w:rsidR="008C1E64">
        <w:t>or a maturity-dependent density based on</w:t>
      </w:r>
      <w:r>
        <w:t xml:space="preserve"> the carbon/hydrogen-ratio (C/H) </w:t>
      </w:r>
      <w:r w:rsidR="008C1E64">
        <w:t xml:space="preserve">and parameterized by [74]. </w:t>
      </w:r>
      <w:r w:rsidR="00C77BEB">
        <w:t xml:space="preserve">Although the parameterization of [74] assumed </w:t>
      </w:r>
      <m:oMath>
        <m:sSub>
          <m:sSubPr>
            <m:ctrlPr>
              <w:rPr>
                <w:rFonts w:ascii="Cambria Math" w:hAnsi="Cambria Math"/>
                <w:i/>
              </w:rPr>
            </m:ctrlPr>
          </m:sSubPr>
          <m:e>
            <m:r>
              <w:rPr>
                <w:rFonts w:ascii="Cambria Math" w:hAnsi="Cambria Math"/>
              </w:rPr>
              <m:t>E</m:t>
            </m:r>
          </m:e>
          <m:sub>
            <m:r>
              <w:rPr>
                <w:rFonts w:ascii="Cambria Math" w:hAnsi="Cambria Math"/>
              </w:rPr>
              <m:t>g</m:t>
            </m:r>
          </m:sub>
        </m:sSub>
        <m:r>
          <w:rPr>
            <w:rFonts w:ascii="Cambria Math" w:hAnsi="Cambria Math"/>
          </w:rPr>
          <m:t>=0.25</m:t>
        </m:r>
      </m:oMath>
      <w:r w:rsidR="00C77BEB">
        <w:t xml:space="preserve"> eV for mature soot, we have extrapolated down to 0 eV for illustration. </w:t>
      </w:r>
      <w:r w:rsidR="008C1E64">
        <w:t xml:space="preserve">This parameterization may not be applicable for all flames discussed in the main text, and it </w:t>
      </w:r>
      <w:r>
        <w:t>does not predict the upper range of MACs reported in the main text.</w:t>
      </w:r>
    </w:p>
    <w:p w14:paraId="208AEB8F" w14:textId="77777777" w:rsidR="000057A9" w:rsidRDefault="000057A9" w:rsidP="00654D55">
      <w:pPr>
        <w:spacing w:line="240" w:lineRule="auto"/>
      </w:pPr>
    </w:p>
    <w:p w14:paraId="71EE6401" w14:textId="4B9724DE" w:rsidR="00654D55" w:rsidRDefault="00D158BE" w:rsidP="00654D55">
      <w:pPr>
        <w:spacing w:line="240" w:lineRule="auto"/>
      </w:pPr>
      <w:r w:rsidRPr="00D158BE">
        <w:rPr>
          <w:noProof/>
          <w:lang w:val="en-US" w:eastAsia="en-US"/>
        </w:rPr>
        <w:lastRenderedPageBreak/>
        <w:drawing>
          <wp:inline distT="0" distB="0" distL="0" distR="0" wp14:anchorId="0AA645F2" wp14:editId="710E0F39">
            <wp:extent cx="5396865" cy="5138227"/>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96865" cy="5138227"/>
                    </a:xfrm>
                    <a:prstGeom prst="rect">
                      <a:avLst/>
                    </a:prstGeom>
                    <a:noFill/>
                    <a:ln>
                      <a:noFill/>
                    </a:ln>
                  </pic:spPr>
                </pic:pic>
              </a:graphicData>
            </a:graphic>
          </wp:inline>
        </w:drawing>
      </w:r>
      <w:r w:rsidR="00654D55" w:rsidRPr="002C4B0C">
        <w:t xml:space="preserve"> </w:t>
      </w:r>
    </w:p>
    <w:p w14:paraId="617F66EF" w14:textId="78385DF7" w:rsidR="00654D55" w:rsidRDefault="00654D55" w:rsidP="000F1E49">
      <w:pPr>
        <w:pStyle w:val="Paragraph"/>
      </w:pPr>
      <w:bookmarkStart w:id="25" w:name="_Ref70080408"/>
      <w:r>
        <w:t>Figure S</w:t>
      </w:r>
      <w:r w:rsidR="003E052F">
        <w:rPr>
          <w:noProof/>
        </w:rPr>
        <w:t>6</w:t>
      </w:r>
      <w:bookmarkEnd w:id="25"/>
      <w:r>
        <w:t xml:space="preserve">. Measured and modelled size-resolved MACs for the </w:t>
      </w:r>
      <w:r w:rsidR="003778F1">
        <w:t xml:space="preserve">Gnome </w:t>
      </w:r>
      <w:r>
        <w:t xml:space="preserve">aviation </w:t>
      </w:r>
      <w:r w:rsidR="0010625A">
        <w:t xml:space="preserve">turbine </w:t>
      </w:r>
      <w:r>
        <w:t>engine. The fit to the measurements highlights the observed sigmoidal trend. We modelled 3 hypotheses for size-dependent soot properties</w:t>
      </w:r>
      <w:r w:rsidR="0016520F">
        <w:t xml:space="preserve"> (GMM-1, GMM-2, and RDG-3)</w:t>
      </w:r>
      <w:r>
        <w:t>. The null</w:t>
      </w:r>
      <w:r w:rsidR="0016520F">
        <w:t>-</w:t>
      </w:r>
      <w:r>
        <w:t xml:space="preserve">hypothesis </w:t>
      </w:r>
      <w:r w:rsidR="0016520F">
        <w:t xml:space="preserve">model (RDG-0) </w:t>
      </w:r>
      <w:r>
        <w:t xml:space="preserve">assumes DLCA aggregates of constant </w:t>
      </w:r>
      <m:oMath>
        <m:sSub>
          <m:sSubPr>
            <m:ctrlPr>
              <w:rPr>
                <w:rFonts w:ascii="Cambria Math" w:hAnsi="Cambria Math"/>
                <w:i/>
              </w:rPr>
            </m:ctrlPr>
          </m:sSubPr>
          <m:e>
            <m:r>
              <w:rPr>
                <w:rFonts w:ascii="Cambria Math" w:hAnsi="Cambria Math"/>
              </w:rPr>
              <m:t>d</m:t>
            </m:r>
          </m:e>
          <m:sub>
            <m:r>
              <w:rPr>
                <w:rFonts w:ascii="Cambria Math" w:hAnsi="Cambria Math"/>
              </w:rPr>
              <m:t>pp</m:t>
            </m:r>
          </m:sub>
        </m:sSub>
      </m:oMath>
      <w:r>
        <w:t xml:space="preserve"> and RI. </w:t>
      </w:r>
      <w:r w:rsidR="0016520F">
        <w:t xml:space="preserve">The GMM-1 model accounts for internal scattering within the soot aggregate. </w:t>
      </w:r>
      <w:r>
        <w:t xml:space="preserve">The </w:t>
      </w:r>
      <w:r w:rsidR="0016520F">
        <w:t xml:space="preserve">GMM-2 </w:t>
      </w:r>
      <w:r>
        <w:t xml:space="preserve">model implements the correlation of </w:t>
      </w:r>
      <m:oMath>
        <m:sSub>
          <m:sSubPr>
            <m:ctrlPr>
              <w:rPr>
                <w:rFonts w:ascii="Cambria Math" w:hAnsi="Cambria Math"/>
                <w:i/>
              </w:rPr>
            </m:ctrlPr>
          </m:sSubPr>
          <m:e>
            <m:r>
              <w:rPr>
                <w:rFonts w:ascii="Cambria Math" w:hAnsi="Cambria Math"/>
              </w:rPr>
              <m:t>d</m:t>
            </m:r>
          </m:e>
          <m:sub>
            <m:r>
              <w:rPr>
                <w:rFonts w:ascii="Cambria Math" w:hAnsi="Cambria Math"/>
              </w:rPr>
              <m:t>pp</m:t>
            </m:r>
          </m:sub>
        </m:sSub>
      </m:oMath>
      <w:r>
        <w:t xml:space="preserve"> with </w:t>
      </w:r>
      <m:oMath>
        <m:sSub>
          <m:sSubPr>
            <m:ctrlPr>
              <w:rPr>
                <w:rFonts w:ascii="Cambria Math" w:hAnsi="Cambria Math"/>
                <w:i/>
              </w:rPr>
            </m:ctrlPr>
          </m:sSubPr>
          <m:e>
            <m:r>
              <w:rPr>
                <w:rFonts w:ascii="Cambria Math" w:hAnsi="Cambria Math"/>
              </w:rPr>
              <m:t>d</m:t>
            </m:r>
          </m:e>
          <m:sub>
            <m:r>
              <w:rPr>
                <w:rFonts w:ascii="Cambria Math" w:hAnsi="Cambria Math"/>
              </w:rPr>
              <m:t>m</m:t>
            </m:r>
          </m:sub>
        </m:sSub>
      </m:oMath>
      <w:r>
        <w:t xml:space="preserve"> (</w:t>
      </w:r>
      <w:proofErr w:type="gramStart"/>
      <w:r>
        <w:t xml:space="preserve">and </w:t>
      </w:r>
      <w:proofErr w:type="gramEnd"/>
      <m:oMath>
        <m:sSub>
          <m:sSubPr>
            <m:ctrlPr>
              <w:rPr>
                <w:rFonts w:ascii="Cambria Math" w:hAnsi="Cambria Math"/>
                <w:i/>
              </w:rPr>
            </m:ctrlPr>
          </m:sSubPr>
          <m:e>
            <m:r>
              <w:rPr>
                <w:rFonts w:ascii="Cambria Math" w:hAnsi="Cambria Math"/>
              </w:rPr>
              <m:t>m</m:t>
            </m:r>
          </m:e>
          <m:sub>
            <m:r>
              <w:rPr>
                <w:rFonts w:ascii="Cambria Math" w:hAnsi="Cambria Math"/>
              </w:rPr>
              <m:t>p</m:t>
            </m:r>
          </m:sub>
        </m:sSub>
      </m:oMath>
      <w:r>
        <w:t xml:space="preserve">) observed previously </w:t>
      </w:r>
      <w:r w:rsidR="00D158BE" w:rsidRPr="00D158BE">
        <w:rPr>
          <w:noProof/>
        </w:rPr>
        <w:t>[27,58,63]</w:t>
      </w:r>
      <w:r>
        <w:t xml:space="preserve">. The graphitic-shell model extends the correlation model to hypothesize that the extreme curvature of smaller soot particles makes them less graphitic. Finally, the </w:t>
      </w:r>
      <w:r w:rsidR="0016520F">
        <w:t xml:space="preserve">GMM-3 </w:t>
      </w:r>
      <w:r>
        <w:t xml:space="preserve">model </w:t>
      </w:r>
      <w:r w:rsidR="0016520F">
        <w:t xml:space="preserve">represents quantum confinement following Ref. </w:t>
      </w:r>
      <w:r w:rsidR="00F900DB" w:rsidRPr="00F900DB">
        <w:rPr>
          <w:noProof/>
        </w:rPr>
        <w:t>[35]</w:t>
      </w:r>
      <w:r w:rsidR="0016520F">
        <w:t>;</w:t>
      </w:r>
      <w:r>
        <w:t xml:space="preserve"> it does not represent </w:t>
      </w:r>
      <w:proofErr w:type="gramStart"/>
      <w:r>
        <w:t xml:space="preserve">the </w:t>
      </w:r>
      <m:oMath>
        <m:sSub>
          <m:sSubPr>
            <m:ctrlPr>
              <w:rPr>
                <w:rFonts w:ascii="Cambria Math" w:hAnsi="Cambria Math"/>
                <w:i/>
              </w:rPr>
            </m:ctrlPr>
          </m:sSubPr>
          <m:e>
            <m:r>
              <w:rPr>
                <w:rFonts w:ascii="Cambria Math" w:hAnsi="Cambria Math"/>
              </w:rPr>
              <m:t>d</m:t>
            </m:r>
          </m:e>
          <m:sub>
            <m:r>
              <w:rPr>
                <w:rFonts w:ascii="Cambria Math" w:hAnsi="Cambria Math"/>
              </w:rPr>
              <m:t>pp</m:t>
            </m:r>
          </m:sub>
        </m:sSub>
      </m:oMath>
      <w:r>
        <w:t xml:space="preserve"> of</w:t>
      </w:r>
      <w:proofErr w:type="gramEnd"/>
      <w:r>
        <w:t xml:space="preserve"> this engine. </w:t>
      </w:r>
    </w:p>
    <w:p w14:paraId="58267737" w14:textId="77777777" w:rsidR="003B3062" w:rsidRDefault="003B3062" w:rsidP="0094466A">
      <w:pPr>
        <w:pStyle w:val="Paragraph"/>
        <w:sectPr w:rsidR="003B3062" w:rsidSect="00764608">
          <w:pgSz w:w="11901" w:h="16840" w:code="9"/>
          <w:pgMar w:top="1418" w:right="1701" w:bottom="1418" w:left="1701" w:header="709" w:footer="709" w:gutter="0"/>
          <w:lnNumType w:countBy="1" w:restart="continuous"/>
          <w:cols w:space="708"/>
          <w:docGrid w:linePitch="360"/>
        </w:sectPr>
      </w:pPr>
    </w:p>
    <w:p w14:paraId="56A76638" w14:textId="4B1087AF" w:rsidR="00A929AC" w:rsidRDefault="004B6235" w:rsidP="0094466A">
      <w:pPr>
        <w:pStyle w:val="Paragraph"/>
      </w:pPr>
      <w:r w:rsidRPr="004B6235">
        <w:rPr>
          <w:noProof/>
          <w:lang w:val="en-US" w:eastAsia="en-US"/>
        </w:rPr>
        <w:lastRenderedPageBreak/>
        <w:drawing>
          <wp:inline distT="0" distB="0" distL="0" distR="0" wp14:anchorId="71269FE9" wp14:editId="6144752D">
            <wp:extent cx="8681389" cy="5275384"/>
            <wp:effectExtent l="0" t="0" r="5715"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684370" cy="5277195"/>
                    </a:xfrm>
                    <a:prstGeom prst="rect">
                      <a:avLst/>
                    </a:prstGeom>
                    <a:noFill/>
                    <a:ln>
                      <a:noFill/>
                    </a:ln>
                  </pic:spPr>
                </pic:pic>
              </a:graphicData>
            </a:graphic>
          </wp:inline>
        </w:drawing>
      </w:r>
    </w:p>
    <w:p w14:paraId="2CF294B5" w14:textId="36F1F7BB" w:rsidR="003B3062" w:rsidRDefault="00A929AC" w:rsidP="0094466A">
      <w:pPr>
        <w:pStyle w:val="Paragraph"/>
      </w:pPr>
      <w:bookmarkStart w:id="26" w:name="_Ref73538469"/>
      <w:r>
        <w:t>Figure S</w:t>
      </w:r>
      <w:r w:rsidR="003E052F">
        <w:rPr>
          <w:noProof/>
        </w:rPr>
        <w:t>7</w:t>
      </w:r>
      <w:bookmarkEnd w:id="26"/>
      <w:r>
        <w:t xml:space="preserve">. Similar to </w:t>
      </w:r>
      <w:r w:rsidR="003E052F">
        <w:t xml:space="preserve">Figure </w:t>
      </w:r>
      <w:r w:rsidR="003E052F">
        <w:rPr>
          <w:noProof/>
        </w:rPr>
        <w:t>5</w:t>
      </w:r>
      <w:r>
        <w:t xml:space="preserve"> but with data overlaid</w:t>
      </w:r>
      <w:r w:rsidR="00880D4A">
        <w:t xml:space="preserve"> on a single panel</w:t>
      </w:r>
      <w:r>
        <w:t xml:space="preserve">. </w:t>
      </w:r>
    </w:p>
    <w:p w14:paraId="42DE6288" w14:textId="79D8C895" w:rsidR="003B3062" w:rsidRDefault="003B3062" w:rsidP="003B3062">
      <w:pPr>
        <w:pStyle w:val="Newparagraph"/>
        <w:sectPr w:rsidR="003B3062" w:rsidSect="003E052F">
          <w:pgSz w:w="16840" w:h="11901" w:orient="landscape" w:code="9"/>
          <w:pgMar w:top="284" w:right="1418" w:bottom="1701" w:left="1418" w:header="709" w:footer="709" w:gutter="0"/>
          <w:lnNumType w:countBy="1" w:restart="continuous"/>
          <w:cols w:space="708"/>
          <w:docGrid w:linePitch="360"/>
        </w:sectPr>
      </w:pPr>
    </w:p>
    <w:p w14:paraId="692DE9DB" w14:textId="79E43551" w:rsidR="003B3062" w:rsidRPr="003B3062" w:rsidRDefault="003B3062" w:rsidP="003B3062">
      <w:pPr>
        <w:pStyle w:val="Newparagraph"/>
      </w:pPr>
    </w:p>
    <w:p w14:paraId="428DB098" w14:textId="77777777" w:rsidR="00315109" w:rsidRDefault="003B3062" w:rsidP="003B3062">
      <w:pPr>
        <w:pStyle w:val="Paragraph"/>
      </w:pPr>
      <w:r w:rsidRPr="003B3062">
        <w:rPr>
          <w:noProof/>
          <w:lang w:val="en-US" w:eastAsia="en-US"/>
        </w:rPr>
        <w:drawing>
          <wp:inline distT="0" distB="0" distL="0" distR="0" wp14:anchorId="1849D58F" wp14:editId="66F7308A">
            <wp:extent cx="5396865" cy="45085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96865" cy="4508500"/>
                    </a:xfrm>
                    <a:prstGeom prst="rect">
                      <a:avLst/>
                    </a:prstGeom>
                  </pic:spPr>
                </pic:pic>
              </a:graphicData>
            </a:graphic>
          </wp:inline>
        </w:drawing>
      </w:r>
      <w:r w:rsidRPr="003B3062">
        <w:t xml:space="preserve"> </w:t>
      </w:r>
    </w:p>
    <w:p w14:paraId="485167D0" w14:textId="06A2A2A4" w:rsidR="003B3062" w:rsidRDefault="003B3062" w:rsidP="003B3062">
      <w:pPr>
        <w:pStyle w:val="Paragraph"/>
      </w:pPr>
      <w:bookmarkStart w:id="27" w:name="_Ref73025190"/>
      <w:bookmarkStart w:id="28" w:name="_Ref73025183"/>
      <w:r>
        <w:t>Figure S</w:t>
      </w:r>
      <w:r w:rsidR="003E052F">
        <w:rPr>
          <w:noProof/>
        </w:rPr>
        <w:t>8</w:t>
      </w:r>
      <w:bookmarkEnd w:id="27"/>
      <w:r>
        <w:t>. Single scattering albedo (SSA) versus single-particle mass for the 660 nm CAPS PM</w:t>
      </w:r>
      <w:r w:rsidRPr="003B3062">
        <w:rPr>
          <w:vertAlign w:val="subscript"/>
        </w:rPr>
        <w:t>SSA</w:t>
      </w:r>
      <w:r>
        <w:t xml:space="preserve"> data.</w:t>
      </w:r>
      <w:bookmarkEnd w:id="28"/>
      <w:r>
        <w:t xml:space="preserve"> </w:t>
      </w:r>
    </w:p>
    <w:p w14:paraId="2D91B0AE" w14:textId="77777777" w:rsidR="00315109" w:rsidRDefault="003B3062" w:rsidP="003B3062">
      <w:pPr>
        <w:pStyle w:val="Paragraph"/>
      </w:pPr>
      <w:r w:rsidRPr="003B3062">
        <w:rPr>
          <w:noProof/>
          <w:lang w:val="en-US" w:eastAsia="en-US"/>
        </w:rPr>
        <w:lastRenderedPageBreak/>
        <w:drawing>
          <wp:inline distT="0" distB="0" distL="0" distR="0" wp14:anchorId="5D7B998E" wp14:editId="69BECCFA">
            <wp:extent cx="5396865" cy="4376420"/>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96865" cy="4376420"/>
                    </a:xfrm>
                    <a:prstGeom prst="rect">
                      <a:avLst/>
                    </a:prstGeom>
                  </pic:spPr>
                </pic:pic>
              </a:graphicData>
            </a:graphic>
          </wp:inline>
        </w:drawing>
      </w:r>
      <w:r w:rsidRPr="003B3062">
        <w:t xml:space="preserve"> </w:t>
      </w:r>
    </w:p>
    <w:p w14:paraId="62AE1D68" w14:textId="4C542E7C" w:rsidR="003B3062" w:rsidRDefault="003B3062" w:rsidP="003B3062">
      <w:pPr>
        <w:pStyle w:val="Paragraph"/>
      </w:pPr>
      <w:bookmarkStart w:id="29" w:name="_Ref73025188"/>
      <w:r>
        <w:t>Figure S</w:t>
      </w:r>
      <w:r w:rsidR="003E052F">
        <w:rPr>
          <w:noProof/>
        </w:rPr>
        <w:t>9</w:t>
      </w:r>
      <w:bookmarkEnd w:id="29"/>
      <w:r>
        <w:t>. Single scattering albedo (SSA) versus MAC</w:t>
      </w:r>
      <w:r>
        <w:rPr>
          <w:vertAlign w:val="subscript"/>
        </w:rPr>
        <w:t>550</w:t>
      </w:r>
      <w:r w:rsidRPr="003B3062">
        <w:rPr>
          <w:vertAlign w:val="subscript"/>
        </w:rPr>
        <w:t>nm</w:t>
      </w:r>
      <w:r>
        <w:t xml:space="preserve"> for the 660 nm CAPS PM</w:t>
      </w:r>
      <w:r w:rsidRPr="003B3062">
        <w:rPr>
          <w:vertAlign w:val="subscript"/>
        </w:rPr>
        <w:t>SSA</w:t>
      </w:r>
      <w:r>
        <w:t xml:space="preserve"> data. </w:t>
      </w:r>
    </w:p>
    <w:p w14:paraId="11900F13" w14:textId="77777777" w:rsidR="00791A97" w:rsidRDefault="00791A97">
      <w:pPr>
        <w:spacing w:line="240" w:lineRule="auto"/>
      </w:pPr>
      <w:r>
        <w:br w:type="page"/>
      </w:r>
    </w:p>
    <w:p w14:paraId="077190BC" w14:textId="0B382F57" w:rsidR="00791A97" w:rsidRDefault="00396F5D" w:rsidP="00737F8A">
      <w:pPr>
        <w:pStyle w:val="Paragraph"/>
        <w:jc w:val="center"/>
      </w:pPr>
      <w:r w:rsidRPr="00396F5D">
        <w:lastRenderedPageBreak/>
        <w:t xml:space="preserve"> </w:t>
      </w:r>
      <w:r w:rsidRPr="00396F5D">
        <w:rPr>
          <w:noProof/>
          <w:lang w:val="en-US" w:eastAsia="en-US"/>
        </w:rPr>
        <w:drawing>
          <wp:inline distT="0" distB="0" distL="0" distR="0" wp14:anchorId="0568D705" wp14:editId="0DAB2C47">
            <wp:extent cx="5367655" cy="5979160"/>
            <wp:effectExtent l="0" t="0" r="4445"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67655" cy="5979160"/>
                    </a:xfrm>
                    <a:prstGeom prst="rect">
                      <a:avLst/>
                    </a:prstGeom>
                    <a:noFill/>
                    <a:ln>
                      <a:noFill/>
                    </a:ln>
                  </pic:spPr>
                </pic:pic>
              </a:graphicData>
            </a:graphic>
          </wp:inline>
        </w:drawing>
      </w:r>
    </w:p>
    <w:p w14:paraId="7A8FD473" w14:textId="0B9858A7" w:rsidR="00993C98" w:rsidRPr="00DE0430" w:rsidRDefault="00791A97" w:rsidP="00C77E48">
      <w:pPr>
        <w:pStyle w:val="Paragraph"/>
      </w:pPr>
      <w:bookmarkStart w:id="30" w:name="_Ref73022075"/>
      <w:r>
        <w:t>Figure S</w:t>
      </w:r>
      <w:r w:rsidR="003E052F">
        <w:rPr>
          <w:noProof/>
        </w:rPr>
        <w:t>10</w:t>
      </w:r>
      <w:bookmarkEnd w:id="30"/>
      <w:r>
        <w:t xml:space="preserve">. Calibration of the </w:t>
      </w:r>
      <w:r w:rsidR="004B6235">
        <w:t>MSS</w:t>
      </w:r>
      <w:r>
        <w:t xml:space="preserve"> used in this study using the </w:t>
      </w:r>
      <w:r w:rsidR="003778F1">
        <w:t xml:space="preserve">Gnome </w:t>
      </w:r>
      <w:r>
        <w:t xml:space="preserve">data shown in </w:t>
      </w:r>
      <w:r w:rsidR="003E052F">
        <w:t xml:space="preserve">Figure </w:t>
      </w:r>
      <w:r w:rsidR="003E052F">
        <w:rPr>
          <w:noProof/>
        </w:rPr>
        <w:t>3</w:t>
      </w:r>
      <w:r>
        <w:t xml:space="preserve">, </w:t>
      </w:r>
      <w:r w:rsidR="003E052F">
        <w:t>Figure S</w:t>
      </w:r>
      <w:r w:rsidR="003E052F">
        <w:rPr>
          <w:noProof/>
        </w:rPr>
        <w:t>6</w:t>
      </w:r>
      <w:r>
        <w:t xml:space="preserve">, and other figures. The size-resolved MAC signal results in a scatter of only approximately 10% in the calibration scatterplot and residuals. However, this scatter is systematic enough to allow for the size-resolved MAC to be inferred, as discussed in the manuscript. </w:t>
      </w:r>
    </w:p>
    <w:p w14:paraId="421B0C90" w14:textId="22BDBBFE" w:rsidR="00F45908" w:rsidRPr="00F45908" w:rsidRDefault="00F45908" w:rsidP="0024190D">
      <w:pPr>
        <w:tabs>
          <w:tab w:val="left" w:pos="6069"/>
        </w:tabs>
      </w:pPr>
      <w:r>
        <w:tab/>
      </w:r>
    </w:p>
    <w:sectPr w:rsidR="00F45908" w:rsidRPr="00F45908" w:rsidSect="00791A97">
      <w:pgSz w:w="11901" w:h="16840" w:code="9"/>
      <w:pgMar w:top="851" w:right="1701" w:bottom="1418" w:left="1701"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5C8F21" w14:textId="77777777" w:rsidR="00CC289F" w:rsidRDefault="00CC289F" w:rsidP="00AF2C92">
      <w:r>
        <w:separator/>
      </w:r>
    </w:p>
  </w:endnote>
  <w:endnote w:type="continuationSeparator" w:id="0">
    <w:p w14:paraId="25E86083" w14:textId="77777777" w:rsidR="00CC289F" w:rsidRDefault="00CC289F" w:rsidP="00AF2C92">
      <w:r>
        <w:continuationSeparator/>
      </w:r>
    </w:p>
  </w:endnote>
  <w:endnote w:type="continuationNotice" w:id="1">
    <w:p w14:paraId="3906E494" w14:textId="77777777" w:rsidR="00CC289F" w:rsidRDefault="00CC289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5960474"/>
      <w:docPartObj>
        <w:docPartGallery w:val="Page Numbers (Bottom of Page)"/>
        <w:docPartUnique/>
      </w:docPartObj>
    </w:sdtPr>
    <w:sdtEndPr>
      <w:rPr>
        <w:noProof/>
      </w:rPr>
    </w:sdtEndPr>
    <w:sdtContent>
      <w:p w14:paraId="4B496330" w14:textId="13EAC1A1" w:rsidR="00245812" w:rsidRDefault="00245812">
        <w:pPr>
          <w:pStyle w:val="Footer"/>
          <w:jc w:val="center"/>
        </w:pPr>
        <w:r>
          <w:fldChar w:fldCharType="begin"/>
        </w:r>
        <w:r>
          <w:instrText xml:space="preserve"> PAGE   \* MERGEFORMAT </w:instrText>
        </w:r>
        <w:r>
          <w:fldChar w:fldCharType="separate"/>
        </w:r>
        <w:r w:rsidR="00E918CA">
          <w:rPr>
            <w:noProof/>
          </w:rPr>
          <w:t>19</w:t>
        </w:r>
        <w:r>
          <w:rPr>
            <w:noProof/>
          </w:rPr>
          <w:fldChar w:fldCharType="end"/>
        </w:r>
      </w:p>
    </w:sdtContent>
  </w:sdt>
  <w:p w14:paraId="6292115B" w14:textId="77777777" w:rsidR="00245812" w:rsidRDefault="00245812">
    <w:pPr>
      <w:pStyle w:val="Footer"/>
    </w:pPr>
  </w:p>
  <w:p w14:paraId="272FE3F5" w14:textId="77777777" w:rsidR="00245812" w:rsidRDefault="0024581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30BDCE" w14:textId="77777777" w:rsidR="00CC289F" w:rsidRDefault="00CC289F" w:rsidP="00AF2C92">
      <w:r>
        <w:separator/>
      </w:r>
    </w:p>
  </w:footnote>
  <w:footnote w:type="continuationSeparator" w:id="0">
    <w:p w14:paraId="3C128A77" w14:textId="77777777" w:rsidR="00CC289F" w:rsidRDefault="00CC289F" w:rsidP="00AF2C92">
      <w:r>
        <w:continuationSeparator/>
      </w:r>
    </w:p>
  </w:footnote>
  <w:footnote w:type="continuationNotice" w:id="1">
    <w:p w14:paraId="53859260" w14:textId="77777777" w:rsidR="00CC289F" w:rsidRDefault="00CC289F">
      <w:pPr>
        <w:spacing w:line="240" w:lineRule="auto"/>
      </w:pPr>
    </w:p>
  </w:footnote>
  <w:footnote w:id="2">
    <w:p w14:paraId="6B75C399" w14:textId="1D5A02A9" w:rsidR="00245812" w:rsidRPr="00365739" w:rsidRDefault="00245812" w:rsidP="009B5530">
      <w:pPr>
        <w:pStyle w:val="FootnoteText"/>
        <w:rPr>
          <w:lang w:val="en-CA"/>
        </w:rPr>
      </w:pPr>
      <w:r w:rsidRPr="00F702AF">
        <w:rPr>
          <w:rStyle w:val="FootnoteReference"/>
        </w:rPr>
        <w:footnoteRef/>
      </w:r>
      <w:r>
        <w:t xml:space="preserve"> </w:t>
      </w:r>
      <w:r>
        <w:rPr>
          <w:lang w:val="en-CA"/>
        </w:rPr>
        <w:t xml:space="preserve">Aerosol pressure and temperature of 101,325 Pa and 298.15 K, respectively, as well as assuming the soot particles follow the mass-mobility relationship established by </w:t>
      </w:r>
      <w:proofErr w:type="spellStart"/>
      <w:r>
        <w:rPr>
          <w:lang w:val="en-CA"/>
        </w:rPr>
        <w:t>Olfert</w:t>
      </w:r>
      <w:proofErr w:type="spellEnd"/>
      <w:r>
        <w:rPr>
          <w:lang w:val="en-CA"/>
        </w:rPr>
        <w:t xml:space="preserve"> and </w:t>
      </w:r>
      <w:proofErr w:type="spellStart"/>
      <w:r>
        <w:rPr>
          <w:lang w:val="en-CA"/>
        </w:rPr>
        <w:t>Rogak</w:t>
      </w:r>
      <w:proofErr w:type="spellEnd"/>
      <w:r>
        <w:rPr>
          <w:lang w:val="en-CA"/>
        </w:rPr>
        <w:t xml:space="preserve"> </w:t>
      </w:r>
      <w:r>
        <w:fldChar w:fldCharType="begin" w:fldLock="1"/>
      </w:r>
      <w:r>
        <w:instrText>ADDIN CSL_CITATION {"citationItems":[{"id":"ITEM-1","itemData":{"DOI":"10.1080/02786826.2019.1577949","ISSN":"0278-6826","author":[{"dropping-particle":"","family":"Olfert","given":"Jason","non-dropping-particle":"","parse-names":false,"suffix":""},{"dropping-particle":"","family":"Rogak","given":"Steven","non-dropping-particle":"","parse-names":false,"suffix":""}],"container-title":"Aerosol Science and Technology","id":"ITEM-1","issue":"5","issued":{"date-parts":[["2019","5","4"]]},"page":"485-492","title":"Universal relations between soot effective density and primary particle size for common combustion sources","type":"article-journal","volume":"53"},"uris":["http://www.mendeley.com/documents/?uuid=de9d70ba-f0d9-4e86-8aa6-98a820bfeb12"]}],"mendeley":{"formattedCitation":"[58]","plainTextFormattedCitation":"[58]","previouslyFormattedCitation":"[58]"},"properties":{"noteIndex":0},"schema":"https://github.com/citation-style-language/schema/raw/master/csl-citation.json"}</w:instrText>
      </w:r>
      <w:r>
        <w:fldChar w:fldCharType="separate"/>
      </w:r>
      <w:r w:rsidRPr="00F900DB">
        <w:rPr>
          <w:noProof/>
        </w:rPr>
        <w:t>[58]</w:t>
      </w:r>
      <w:r>
        <w:fldChar w:fldCharType="end"/>
      </w:r>
      <w:r>
        <w:t>.</w:t>
      </w:r>
    </w:p>
  </w:footnote>
  <w:footnote w:id="3">
    <w:p w14:paraId="5CEA5EE2" w14:textId="77777777" w:rsidR="00245812" w:rsidRPr="00E2502F" w:rsidRDefault="00245812" w:rsidP="002365C7">
      <w:pPr>
        <w:pStyle w:val="FootnoteText"/>
        <w:rPr>
          <w:lang w:val="en-CA"/>
        </w:rPr>
      </w:pPr>
      <w:r w:rsidRPr="00F702AF">
        <w:rPr>
          <w:rStyle w:val="FootnoteReference"/>
        </w:rPr>
        <w:footnoteRef/>
      </w:r>
      <w:r>
        <w:t xml:space="preserve"> </w:t>
      </w:r>
      <w:r>
        <w:rPr>
          <w:lang w:val="en-CA"/>
        </w:rPr>
        <w:t xml:space="preserve">The width of the classified mass distribution is a function of the combined widths of the particle </w:t>
      </w:r>
      <w:r>
        <w:t xml:space="preserve">charge distribution, CPMA transfer function and </w:t>
      </w:r>
      <w:proofErr w:type="spellStart"/>
      <w:r>
        <w:t>polydispersed</w:t>
      </w:r>
      <w:proofErr w:type="spellEnd"/>
      <w:r>
        <w:t xml:space="preserve"> aerosol.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9712F42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0A023D1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FB9E8D6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14D7564"/>
    <w:multiLevelType w:val="hybridMultilevel"/>
    <w:tmpl w:val="8396A6A0"/>
    <w:lvl w:ilvl="0" w:tplc="7528E804">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151D3A16"/>
    <w:multiLevelType w:val="hybridMultilevel"/>
    <w:tmpl w:val="80D26962"/>
    <w:lvl w:ilvl="0" w:tplc="49521EDE">
      <w:start w:val="1"/>
      <w:numFmt w:val="decimal"/>
      <w:lvlText w:val="S%1."/>
      <w:lvlJc w:val="left"/>
      <w:pPr>
        <w:ind w:left="833" w:hanging="360"/>
      </w:pPr>
      <w:rPr>
        <w:rFonts w:hint="default"/>
      </w:rPr>
    </w:lvl>
    <w:lvl w:ilvl="1" w:tplc="10090019" w:tentative="1">
      <w:start w:val="1"/>
      <w:numFmt w:val="lowerLetter"/>
      <w:lvlText w:val="%2."/>
      <w:lvlJc w:val="left"/>
      <w:pPr>
        <w:ind w:left="1553" w:hanging="360"/>
      </w:pPr>
    </w:lvl>
    <w:lvl w:ilvl="2" w:tplc="1009001B" w:tentative="1">
      <w:start w:val="1"/>
      <w:numFmt w:val="lowerRoman"/>
      <w:lvlText w:val="%3."/>
      <w:lvlJc w:val="right"/>
      <w:pPr>
        <w:ind w:left="2273" w:hanging="180"/>
      </w:pPr>
    </w:lvl>
    <w:lvl w:ilvl="3" w:tplc="1009000F" w:tentative="1">
      <w:start w:val="1"/>
      <w:numFmt w:val="decimal"/>
      <w:lvlText w:val="%4."/>
      <w:lvlJc w:val="left"/>
      <w:pPr>
        <w:ind w:left="2993" w:hanging="360"/>
      </w:pPr>
    </w:lvl>
    <w:lvl w:ilvl="4" w:tplc="10090019" w:tentative="1">
      <w:start w:val="1"/>
      <w:numFmt w:val="lowerLetter"/>
      <w:lvlText w:val="%5."/>
      <w:lvlJc w:val="left"/>
      <w:pPr>
        <w:ind w:left="3713" w:hanging="360"/>
      </w:pPr>
    </w:lvl>
    <w:lvl w:ilvl="5" w:tplc="1009001B" w:tentative="1">
      <w:start w:val="1"/>
      <w:numFmt w:val="lowerRoman"/>
      <w:lvlText w:val="%6."/>
      <w:lvlJc w:val="right"/>
      <w:pPr>
        <w:ind w:left="4433" w:hanging="180"/>
      </w:pPr>
    </w:lvl>
    <w:lvl w:ilvl="6" w:tplc="1009000F" w:tentative="1">
      <w:start w:val="1"/>
      <w:numFmt w:val="decimal"/>
      <w:lvlText w:val="%7."/>
      <w:lvlJc w:val="left"/>
      <w:pPr>
        <w:ind w:left="5153" w:hanging="360"/>
      </w:pPr>
    </w:lvl>
    <w:lvl w:ilvl="7" w:tplc="10090019" w:tentative="1">
      <w:start w:val="1"/>
      <w:numFmt w:val="lowerLetter"/>
      <w:lvlText w:val="%8."/>
      <w:lvlJc w:val="left"/>
      <w:pPr>
        <w:ind w:left="5873" w:hanging="360"/>
      </w:pPr>
    </w:lvl>
    <w:lvl w:ilvl="8" w:tplc="1009001B" w:tentative="1">
      <w:start w:val="1"/>
      <w:numFmt w:val="lowerRoman"/>
      <w:lvlText w:val="%9."/>
      <w:lvlJc w:val="right"/>
      <w:pPr>
        <w:ind w:left="6593" w:hanging="180"/>
      </w:pPr>
    </w:lvl>
  </w:abstractNum>
  <w:abstractNum w:abstractNumId="15"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1C7796F"/>
    <w:multiLevelType w:val="multilevel"/>
    <w:tmpl w:val="60A0665A"/>
    <w:lvl w:ilvl="0">
      <w:start w:val="1"/>
      <w:numFmt w:val="decimal"/>
      <w:pStyle w:val="Heading1"/>
      <w:lvlText w:val="%1."/>
      <w:lvlJc w:val="left"/>
      <w:pPr>
        <w:ind w:left="357" w:hanging="357"/>
      </w:pPr>
      <w:rPr>
        <w:rFonts w:hint="default"/>
      </w:rPr>
    </w:lvl>
    <w:lvl w:ilvl="1">
      <w:start w:val="1"/>
      <w:numFmt w:val="decimal"/>
      <w:pStyle w:val="Heading2"/>
      <w:lvlText w:val="%1.%2. "/>
      <w:lvlJc w:val="left"/>
      <w:pPr>
        <w:ind w:left="357" w:hanging="357"/>
      </w:pPr>
      <w:rPr>
        <w:rFonts w:hint="default"/>
      </w:rPr>
    </w:lvl>
    <w:lvl w:ilvl="2">
      <w:start w:val="1"/>
      <w:numFmt w:val="decimal"/>
      <w:pStyle w:val="Heading3"/>
      <w:lvlText w:val="%1.%2.%3."/>
      <w:lvlJc w:val="left"/>
      <w:pPr>
        <w:ind w:left="357" w:hanging="357"/>
      </w:pPr>
      <w:rPr>
        <w:rFonts w:hint="default"/>
      </w:rPr>
    </w:lvl>
    <w:lvl w:ilvl="3">
      <w:start w:val="1"/>
      <w:numFmt w:val="decimal"/>
      <w:pStyle w:val="Heading4"/>
      <w:lvlText w:val="%1.%2.%3.%4. "/>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8" w15:restartNumberingAfterBreak="0">
    <w:nsid w:val="275050F8"/>
    <w:multiLevelType w:val="multilevel"/>
    <w:tmpl w:val="16DEB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2A9D70F1"/>
    <w:multiLevelType w:val="multilevel"/>
    <w:tmpl w:val="3AAE6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7D0D44"/>
    <w:multiLevelType w:val="multilevel"/>
    <w:tmpl w:val="30FE0C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6922D95"/>
    <w:multiLevelType w:val="multilevel"/>
    <w:tmpl w:val="BE182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4484236"/>
    <w:multiLevelType w:val="hybridMultilevel"/>
    <w:tmpl w:val="8F1C9ECE"/>
    <w:lvl w:ilvl="0" w:tplc="10090001">
      <w:start w:val="1"/>
      <w:numFmt w:val="bullet"/>
      <w:lvlText w:val=""/>
      <w:lvlJc w:val="left"/>
      <w:pPr>
        <w:ind w:left="770" w:hanging="360"/>
      </w:pPr>
      <w:rPr>
        <w:rFonts w:ascii="Symbol" w:hAnsi="Symbol" w:hint="default"/>
      </w:rPr>
    </w:lvl>
    <w:lvl w:ilvl="1" w:tplc="10090003" w:tentative="1">
      <w:start w:val="1"/>
      <w:numFmt w:val="bullet"/>
      <w:lvlText w:val="o"/>
      <w:lvlJc w:val="left"/>
      <w:pPr>
        <w:ind w:left="1490" w:hanging="360"/>
      </w:pPr>
      <w:rPr>
        <w:rFonts w:ascii="Courier New" w:hAnsi="Courier New" w:cs="Courier New" w:hint="default"/>
      </w:rPr>
    </w:lvl>
    <w:lvl w:ilvl="2" w:tplc="10090005" w:tentative="1">
      <w:start w:val="1"/>
      <w:numFmt w:val="bullet"/>
      <w:lvlText w:val=""/>
      <w:lvlJc w:val="left"/>
      <w:pPr>
        <w:ind w:left="2210" w:hanging="360"/>
      </w:pPr>
      <w:rPr>
        <w:rFonts w:ascii="Wingdings" w:hAnsi="Wingdings" w:hint="default"/>
      </w:rPr>
    </w:lvl>
    <w:lvl w:ilvl="3" w:tplc="10090001" w:tentative="1">
      <w:start w:val="1"/>
      <w:numFmt w:val="bullet"/>
      <w:lvlText w:val=""/>
      <w:lvlJc w:val="left"/>
      <w:pPr>
        <w:ind w:left="2930" w:hanging="360"/>
      </w:pPr>
      <w:rPr>
        <w:rFonts w:ascii="Symbol" w:hAnsi="Symbol" w:hint="default"/>
      </w:rPr>
    </w:lvl>
    <w:lvl w:ilvl="4" w:tplc="10090003" w:tentative="1">
      <w:start w:val="1"/>
      <w:numFmt w:val="bullet"/>
      <w:lvlText w:val="o"/>
      <w:lvlJc w:val="left"/>
      <w:pPr>
        <w:ind w:left="3650" w:hanging="360"/>
      </w:pPr>
      <w:rPr>
        <w:rFonts w:ascii="Courier New" w:hAnsi="Courier New" w:cs="Courier New" w:hint="default"/>
      </w:rPr>
    </w:lvl>
    <w:lvl w:ilvl="5" w:tplc="10090005" w:tentative="1">
      <w:start w:val="1"/>
      <w:numFmt w:val="bullet"/>
      <w:lvlText w:val=""/>
      <w:lvlJc w:val="left"/>
      <w:pPr>
        <w:ind w:left="4370" w:hanging="360"/>
      </w:pPr>
      <w:rPr>
        <w:rFonts w:ascii="Wingdings" w:hAnsi="Wingdings" w:hint="default"/>
      </w:rPr>
    </w:lvl>
    <w:lvl w:ilvl="6" w:tplc="10090001" w:tentative="1">
      <w:start w:val="1"/>
      <w:numFmt w:val="bullet"/>
      <w:lvlText w:val=""/>
      <w:lvlJc w:val="left"/>
      <w:pPr>
        <w:ind w:left="5090" w:hanging="360"/>
      </w:pPr>
      <w:rPr>
        <w:rFonts w:ascii="Symbol" w:hAnsi="Symbol" w:hint="default"/>
      </w:rPr>
    </w:lvl>
    <w:lvl w:ilvl="7" w:tplc="10090003" w:tentative="1">
      <w:start w:val="1"/>
      <w:numFmt w:val="bullet"/>
      <w:lvlText w:val="o"/>
      <w:lvlJc w:val="left"/>
      <w:pPr>
        <w:ind w:left="5810" w:hanging="360"/>
      </w:pPr>
      <w:rPr>
        <w:rFonts w:ascii="Courier New" w:hAnsi="Courier New" w:cs="Courier New" w:hint="default"/>
      </w:rPr>
    </w:lvl>
    <w:lvl w:ilvl="8" w:tplc="10090005" w:tentative="1">
      <w:start w:val="1"/>
      <w:numFmt w:val="bullet"/>
      <w:lvlText w:val=""/>
      <w:lvlJc w:val="left"/>
      <w:pPr>
        <w:ind w:left="6530" w:hanging="360"/>
      </w:pPr>
      <w:rPr>
        <w:rFonts w:ascii="Wingdings" w:hAnsi="Wingdings" w:hint="default"/>
      </w:rPr>
    </w:lvl>
  </w:abstractNum>
  <w:abstractNum w:abstractNumId="27" w15:restartNumberingAfterBreak="0">
    <w:nsid w:val="48F82638"/>
    <w:multiLevelType w:val="multilevel"/>
    <w:tmpl w:val="D8A00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962805"/>
    <w:multiLevelType w:val="hybridMultilevel"/>
    <w:tmpl w:val="EFD43EA4"/>
    <w:lvl w:ilvl="0" w:tplc="C82CD7F0">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B023C9A"/>
    <w:multiLevelType w:val="multilevel"/>
    <w:tmpl w:val="87844440"/>
    <w:lvl w:ilvl="0">
      <w:start w:val="1"/>
      <w:numFmt w:val="decimal"/>
      <w:pStyle w:val="SIHeading1"/>
      <w:lvlText w:val="S%1."/>
      <w:lvlJc w:val="left"/>
      <w:pPr>
        <w:ind w:left="720" w:hanging="360"/>
      </w:pPr>
      <w:rPr>
        <w:rFonts w:hint="default"/>
      </w:rPr>
    </w:lvl>
    <w:lvl w:ilvl="1">
      <w:start w:val="1"/>
      <w:numFmt w:val="decimal"/>
      <w:pStyle w:val="SIHeading2"/>
      <w:lvlText w:val="S%1.%2."/>
      <w:lvlJc w:val="left"/>
      <w:pPr>
        <w:ind w:left="1440" w:hanging="1043"/>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9"/>
  </w:num>
  <w:num w:numId="2">
    <w:abstractNumId w:val="2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4"/>
  </w:num>
  <w:num w:numId="14">
    <w:abstractNumId w:val="30"/>
  </w:num>
  <w:num w:numId="15">
    <w:abstractNumId w:val="16"/>
  </w:num>
  <w:num w:numId="16">
    <w:abstractNumId w:val="23"/>
  </w:num>
  <w:num w:numId="17">
    <w:abstractNumId w:val="11"/>
  </w:num>
  <w:num w:numId="18">
    <w:abstractNumId w:val="0"/>
  </w:num>
  <w:num w:numId="19">
    <w:abstractNumId w:val="12"/>
  </w:num>
  <w:num w:numId="20">
    <w:abstractNumId w:val="30"/>
  </w:num>
  <w:num w:numId="21">
    <w:abstractNumId w:val="30"/>
  </w:num>
  <w:num w:numId="22">
    <w:abstractNumId w:val="30"/>
  </w:num>
  <w:num w:numId="23">
    <w:abstractNumId w:val="30"/>
  </w:num>
  <w:num w:numId="24">
    <w:abstractNumId w:val="24"/>
  </w:num>
  <w:num w:numId="25">
    <w:abstractNumId w:val="25"/>
  </w:num>
  <w:num w:numId="26">
    <w:abstractNumId w:val="31"/>
  </w:num>
  <w:num w:numId="27">
    <w:abstractNumId w:val="32"/>
  </w:num>
  <w:num w:numId="28">
    <w:abstractNumId w:val="30"/>
  </w:num>
  <w:num w:numId="29">
    <w:abstractNumId w:val="15"/>
  </w:num>
  <w:num w:numId="30">
    <w:abstractNumId w:val="33"/>
  </w:num>
  <w:num w:numId="31">
    <w:abstractNumId w:val="13"/>
  </w:num>
  <w:num w:numId="32">
    <w:abstractNumId w:val="20"/>
  </w:num>
  <w:num w:numId="33">
    <w:abstractNumId w:val="18"/>
  </w:num>
  <w:num w:numId="34">
    <w:abstractNumId w:val="27"/>
  </w:num>
  <w:num w:numId="35">
    <w:abstractNumId w:val="21"/>
  </w:num>
  <w:num w:numId="36">
    <w:abstractNumId w:val="28"/>
  </w:num>
  <w:num w:numId="37">
    <w:abstractNumId w:val="17"/>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num>
  <w:num w:numId="47">
    <w:abstractNumId w:val="34"/>
  </w:num>
  <w:num w:numId="48">
    <w:abstractNumId w:val="14"/>
  </w:num>
  <w:num w:numId="49">
    <w:abstractNumId w:val="22"/>
  </w:num>
  <w:num w:numId="5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oNotDisplayPageBoundaries/>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revisionView w:markup="0"/>
  <w:documentProtection w:edit="readOnly" w:enforcement="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A0tjAwNDA3MTM1szRS0lEKTi0uzszPAykwqQUAFHr40CwAAAA="/>
  </w:docVars>
  <w:rsids>
    <w:rsidRoot w:val="00DE5E96"/>
    <w:rsid w:val="00000407"/>
    <w:rsid w:val="00000642"/>
    <w:rsid w:val="00001899"/>
    <w:rsid w:val="000022BD"/>
    <w:rsid w:val="00003115"/>
    <w:rsid w:val="000049AD"/>
    <w:rsid w:val="00004CB9"/>
    <w:rsid w:val="000057A9"/>
    <w:rsid w:val="00006144"/>
    <w:rsid w:val="0000681B"/>
    <w:rsid w:val="000110E2"/>
    <w:rsid w:val="0001146A"/>
    <w:rsid w:val="000117E6"/>
    <w:rsid w:val="0001285D"/>
    <w:rsid w:val="00012C5F"/>
    <w:rsid w:val="000133C0"/>
    <w:rsid w:val="00014071"/>
    <w:rsid w:val="000144F0"/>
    <w:rsid w:val="00014C4E"/>
    <w:rsid w:val="00016E35"/>
    <w:rsid w:val="00017107"/>
    <w:rsid w:val="00017F74"/>
    <w:rsid w:val="00020097"/>
    <w:rsid w:val="000202E2"/>
    <w:rsid w:val="000209C8"/>
    <w:rsid w:val="00022441"/>
    <w:rsid w:val="0002261E"/>
    <w:rsid w:val="0002394B"/>
    <w:rsid w:val="00023D6D"/>
    <w:rsid w:val="00024839"/>
    <w:rsid w:val="00025869"/>
    <w:rsid w:val="00025E44"/>
    <w:rsid w:val="00026871"/>
    <w:rsid w:val="00030E6C"/>
    <w:rsid w:val="000312A1"/>
    <w:rsid w:val="00032088"/>
    <w:rsid w:val="000322AB"/>
    <w:rsid w:val="00033256"/>
    <w:rsid w:val="00034F7B"/>
    <w:rsid w:val="00036158"/>
    <w:rsid w:val="00036433"/>
    <w:rsid w:val="000364B9"/>
    <w:rsid w:val="00036892"/>
    <w:rsid w:val="000368C2"/>
    <w:rsid w:val="000371AF"/>
    <w:rsid w:val="0003770C"/>
    <w:rsid w:val="00037A98"/>
    <w:rsid w:val="00041D15"/>
    <w:rsid w:val="000427FB"/>
    <w:rsid w:val="0004455E"/>
    <w:rsid w:val="0004488F"/>
    <w:rsid w:val="00044FA9"/>
    <w:rsid w:val="000471E7"/>
    <w:rsid w:val="00047CB5"/>
    <w:rsid w:val="00047EFC"/>
    <w:rsid w:val="00050EC4"/>
    <w:rsid w:val="00051FAA"/>
    <w:rsid w:val="000521D4"/>
    <w:rsid w:val="00053138"/>
    <w:rsid w:val="0005371B"/>
    <w:rsid w:val="00054703"/>
    <w:rsid w:val="00054984"/>
    <w:rsid w:val="00054F93"/>
    <w:rsid w:val="0005542C"/>
    <w:rsid w:val="000561EA"/>
    <w:rsid w:val="00056BDC"/>
    <w:rsid w:val="000572A9"/>
    <w:rsid w:val="000575DC"/>
    <w:rsid w:val="000606AC"/>
    <w:rsid w:val="00060E95"/>
    <w:rsid w:val="00061325"/>
    <w:rsid w:val="00062537"/>
    <w:rsid w:val="00062D1D"/>
    <w:rsid w:val="000638F7"/>
    <w:rsid w:val="00066342"/>
    <w:rsid w:val="00066464"/>
    <w:rsid w:val="00066CF6"/>
    <w:rsid w:val="000670A4"/>
    <w:rsid w:val="0007001F"/>
    <w:rsid w:val="00071491"/>
    <w:rsid w:val="000715F5"/>
    <w:rsid w:val="000724B5"/>
    <w:rsid w:val="000733AC"/>
    <w:rsid w:val="00073866"/>
    <w:rsid w:val="00073E53"/>
    <w:rsid w:val="00074269"/>
    <w:rsid w:val="00074B81"/>
    <w:rsid w:val="00074D22"/>
    <w:rsid w:val="00075081"/>
    <w:rsid w:val="0007528A"/>
    <w:rsid w:val="00075372"/>
    <w:rsid w:val="0007667A"/>
    <w:rsid w:val="00076E4C"/>
    <w:rsid w:val="00076EC9"/>
    <w:rsid w:val="00077930"/>
    <w:rsid w:val="000811AB"/>
    <w:rsid w:val="00082C06"/>
    <w:rsid w:val="000834D0"/>
    <w:rsid w:val="00083C5F"/>
    <w:rsid w:val="00084258"/>
    <w:rsid w:val="00084A09"/>
    <w:rsid w:val="00084AAB"/>
    <w:rsid w:val="00084D68"/>
    <w:rsid w:val="000851E1"/>
    <w:rsid w:val="00086E98"/>
    <w:rsid w:val="00086FDB"/>
    <w:rsid w:val="000872C5"/>
    <w:rsid w:val="00090680"/>
    <w:rsid w:val="00091106"/>
    <w:rsid w:val="000916B3"/>
    <w:rsid w:val="0009172C"/>
    <w:rsid w:val="000921EA"/>
    <w:rsid w:val="00092EFF"/>
    <w:rsid w:val="000930EC"/>
    <w:rsid w:val="00093647"/>
    <w:rsid w:val="000939AA"/>
    <w:rsid w:val="00094E23"/>
    <w:rsid w:val="0009516F"/>
    <w:rsid w:val="00095E61"/>
    <w:rsid w:val="00095F0A"/>
    <w:rsid w:val="000962B5"/>
    <w:rsid w:val="000966C1"/>
    <w:rsid w:val="00096F67"/>
    <w:rsid w:val="000970AC"/>
    <w:rsid w:val="000973FD"/>
    <w:rsid w:val="000A040A"/>
    <w:rsid w:val="000A1167"/>
    <w:rsid w:val="000A4428"/>
    <w:rsid w:val="000A5761"/>
    <w:rsid w:val="000A6D40"/>
    <w:rsid w:val="000A70EF"/>
    <w:rsid w:val="000A7201"/>
    <w:rsid w:val="000A7BC3"/>
    <w:rsid w:val="000B00D3"/>
    <w:rsid w:val="000B0981"/>
    <w:rsid w:val="000B0C82"/>
    <w:rsid w:val="000B1661"/>
    <w:rsid w:val="000B1F0B"/>
    <w:rsid w:val="000B2073"/>
    <w:rsid w:val="000B2E88"/>
    <w:rsid w:val="000B3FFE"/>
    <w:rsid w:val="000B4603"/>
    <w:rsid w:val="000B465A"/>
    <w:rsid w:val="000B4848"/>
    <w:rsid w:val="000B4C9C"/>
    <w:rsid w:val="000B4DBC"/>
    <w:rsid w:val="000B502F"/>
    <w:rsid w:val="000B6BC4"/>
    <w:rsid w:val="000B6FC4"/>
    <w:rsid w:val="000B7588"/>
    <w:rsid w:val="000C000C"/>
    <w:rsid w:val="000C09BE"/>
    <w:rsid w:val="000C1380"/>
    <w:rsid w:val="000C2107"/>
    <w:rsid w:val="000C22D4"/>
    <w:rsid w:val="000C27AD"/>
    <w:rsid w:val="000C3213"/>
    <w:rsid w:val="000C380A"/>
    <w:rsid w:val="000C3F36"/>
    <w:rsid w:val="000C4939"/>
    <w:rsid w:val="000C554F"/>
    <w:rsid w:val="000C5C4C"/>
    <w:rsid w:val="000D0DC5"/>
    <w:rsid w:val="000D10F3"/>
    <w:rsid w:val="000D15FF"/>
    <w:rsid w:val="000D2350"/>
    <w:rsid w:val="000D28DF"/>
    <w:rsid w:val="000D3958"/>
    <w:rsid w:val="000D39BB"/>
    <w:rsid w:val="000D488B"/>
    <w:rsid w:val="000D55DB"/>
    <w:rsid w:val="000D68DF"/>
    <w:rsid w:val="000D6B0B"/>
    <w:rsid w:val="000D6E02"/>
    <w:rsid w:val="000D6EB3"/>
    <w:rsid w:val="000D768C"/>
    <w:rsid w:val="000D7954"/>
    <w:rsid w:val="000E05B0"/>
    <w:rsid w:val="000E076A"/>
    <w:rsid w:val="000E1259"/>
    <w:rsid w:val="000E135F"/>
    <w:rsid w:val="000E138D"/>
    <w:rsid w:val="000E187A"/>
    <w:rsid w:val="000E2D61"/>
    <w:rsid w:val="000E34CF"/>
    <w:rsid w:val="000E391E"/>
    <w:rsid w:val="000E450E"/>
    <w:rsid w:val="000E6229"/>
    <w:rsid w:val="000E6259"/>
    <w:rsid w:val="000E6BA5"/>
    <w:rsid w:val="000E6BE1"/>
    <w:rsid w:val="000E6E76"/>
    <w:rsid w:val="000E7138"/>
    <w:rsid w:val="000E7AA9"/>
    <w:rsid w:val="000E7C60"/>
    <w:rsid w:val="000F1333"/>
    <w:rsid w:val="000F14C1"/>
    <w:rsid w:val="000F1C2A"/>
    <w:rsid w:val="000F1E49"/>
    <w:rsid w:val="000F2655"/>
    <w:rsid w:val="000F4677"/>
    <w:rsid w:val="000F5B88"/>
    <w:rsid w:val="000F5BE0"/>
    <w:rsid w:val="000F619E"/>
    <w:rsid w:val="000F64F5"/>
    <w:rsid w:val="000F72C0"/>
    <w:rsid w:val="000F7F49"/>
    <w:rsid w:val="000F7F76"/>
    <w:rsid w:val="00100587"/>
    <w:rsid w:val="00100C6B"/>
    <w:rsid w:val="001011FD"/>
    <w:rsid w:val="00101AE5"/>
    <w:rsid w:val="00102149"/>
    <w:rsid w:val="0010284E"/>
    <w:rsid w:val="00103122"/>
    <w:rsid w:val="001031D2"/>
    <w:rsid w:val="0010336A"/>
    <w:rsid w:val="001048F5"/>
    <w:rsid w:val="00104CAE"/>
    <w:rsid w:val="00104E5A"/>
    <w:rsid w:val="001050F1"/>
    <w:rsid w:val="00105AEA"/>
    <w:rsid w:val="00105B46"/>
    <w:rsid w:val="0010625A"/>
    <w:rsid w:val="00106C31"/>
    <w:rsid w:val="00106DAF"/>
    <w:rsid w:val="0010708E"/>
    <w:rsid w:val="001113FB"/>
    <w:rsid w:val="0011281C"/>
    <w:rsid w:val="00114401"/>
    <w:rsid w:val="00114ABE"/>
    <w:rsid w:val="00114CA2"/>
    <w:rsid w:val="00114F74"/>
    <w:rsid w:val="00116023"/>
    <w:rsid w:val="00116464"/>
    <w:rsid w:val="00120601"/>
    <w:rsid w:val="001208D7"/>
    <w:rsid w:val="001214DE"/>
    <w:rsid w:val="00121F53"/>
    <w:rsid w:val="0012305F"/>
    <w:rsid w:val="00123986"/>
    <w:rsid w:val="00123D6F"/>
    <w:rsid w:val="001240AC"/>
    <w:rsid w:val="00124540"/>
    <w:rsid w:val="00125CF6"/>
    <w:rsid w:val="00130B3D"/>
    <w:rsid w:val="00130F7B"/>
    <w:rsid w:val="00131311"/>
    <w:rsid w:val="00133617"/>
    <w:rsid w:val="00134A51"/>
    <w:rsid w:val="00135212"/>
    <w:rsid w:val="0013698E"/>
    <w:rsid w:val="00136E7A"/>
    <w:rsid w:val="0013774C"/>
    <w:rsid w:val="00140727"/>
    <w:rsid w:val="0014095A"/>
    <w:rsid w:val="00140D46"/>
    <w:rsid w:val="00140D83"/>
    <w:rsid w:val="00141202"/>
    <w:rsid w:val="00143F63"/>
    <w:rsid w:val="001440E9"/>
    <w:rsid w:val="00144177"/>
    <w:rsid w:val="001453C6"/>
    <w:rsid w:val="001469B0"/>
    <w:rsid w:val="00146B82"/>
    <w:rsid w:val="00147F2A"/>
    <w:rsid w:val="001519DE"/>
    <w:rsid w:val="00151CC9"/>
    <w:rsid w:val="0015239A"/>
    <w:rsid w:val="0015288D"/>
    <w:rsid w:val="00153328"/>
    <w:rsid w:val="001567F2"/>
    <w:rsid w:val="00157434"/>
    <w:rsid w:val="001578D3"/>
    <w:rsid w:val="001578F1"/>
    <w:rsid w:val="00160628"/>
    <w:rsid w:val="00161344"/>
    <w:rsid w:val="00162195"/>
    <w:rsid w:val="0016322A"/>
    <w:rsid w:val="0016520F"/>
    <w:rsid w:val="00165232"/>
    <w:rsid w:val="00165419"/>
    <w:rsid w:val="00165A21"/>
    <w:rsid w:val="001666C0"/>
    <w:rsid w:val="00167C39"/>
    <w:rsid w:val="001705CE"/>
    <w:rsid w:val="001713DC"/>
    <w:rsid w:val="001717E2"/>
    <w:rsid w:val="00171931"/>
    <w:rsid w:val="00172243"/>
    <w:rsid w:val="00172440"/>
    <w:rsid w:val="00172858"/>
    <w:rsid w:val="001747EE"/>
    <w:rsid w:val="001757FC"/>
    <w:rsid w:val="00176862"/>
    <w:rsid w:val="00176960"/>
    <w:rsid w:val="001769A0"/>
    <w:rsid w:val="00176D6C"/>
    <w:rsid w:val="00176F66"/>
    <w:rsid w:val="0017714B"/>
    <w:rsid w:val="00177AE9"/>
    <w:rsid w:val="00177DA0"/>
    <w:rsid w:val="001804DF"/>
    <w:rsid w:val="001817A6"/>
    <w:rsid w:val="00181BDC"/>
    <w:rsid w:val="00181DB0"/>
    <w:rsid w:val="00182765"/>
    <w:rsid w:val="001829E3"/>
    <w:rsid w:val="00184CC2"/>
    <w:rsid w:val="00184E01"/>
    <w:rsid w:val="00185109"/>
    <w:rsid w:val="0018526E"/>
    <w:rsid w:val="00186FD2"/>
    <w:rsid w:val="001873A0"/>
    <w:rsid w:val="001873A2"/>
    <w:rsid w:val="00190130"/>
    <w:rsid w:val="00190902"/>
    <w:rsid w:val="00191947"/>
    <w:rsid w:val="00191C39"/>
    <w:rsid w:val="00191F2E"/>
    <w:rsid w:val="001924C0"/>
    <w:rsid w:val="0019303C"/>
    <w:rsid w:val="001931E3"/>
    <w:rsid w:val="00194159"/>
    <w:rsid w:val="00196C07"/>
    <w:rsid w:val="0019731E"/>
    <w:rsid w:val="00197DF7"/>
    <w:rsid w:val="00197F22"/>
    <w:rsid w:val="001A09FE"/>
    <w:rsid w:val="001A0B34"/>
    <w:rsid w:val="001A1E8B"/>
    <w:rsid w:val="001A2D67"/>
    <w:rsid w:val="001A3D01"/>
    <w:rsid w:val="001A420C"/>
    <w:rsid w:val="001A67C9"/>
    <w:rsid w:val="001A69DE"/>
    <w:rsid w:val="001A6B08"/>
    <w:rsid w:val="001A713C"/>
    <w:rsid w:val="001A7599"/>
    <w:rsid w:val="001A774A"/>
    <w:rsid w:val="001B0A62"/>
    <w:rsid w:val="001B1088"/>
    <w:rsid w:val="001B159D"/>
    <w:rsid w:val="001B1C7C"/>
    <w:rsid w:val="001B36FA"/>
    <w:rsid w:val="001B398F"/>
    <w:rsid w:val="001B3A25"/>
    <w:rsid w:val="001B46C6"/>
    <w:rsid w:val="001B4860"/>
    <w:rsid w:val="001B4B48"/>
    <w:rsid w:val="001B4D1F"/>
    <w:rsid w:val="001B54D9"/>
    <w:rsid w:val="001B580A"/>
    <w:rsid w:val="001B6125"/>
    <w:rsid w:val="001B6AFC"/>
    <w:rsid w:val="001B7681"/>
    <w:rsid w:val="001B7CAE"/>
    <w:rsid w:val="001C0772"/>
    <w:rsid w:val="001C0D4F"/>
    <w:rsid w:val="001C1BA3"/>
    <w:rsid w:val="001C1DEC"/>
    <w:rsid w:val="001C2925"/>
    <w:rsid w:val="001C342B"/>
    <w:rsid w:val="001C3D34"/>
    <w:rsid w:val="001C5116"/>
    <w:rsid w:val="001C5736"/>
    <w:rsid w:val="001C599E"/>
    <w:rsid w:val="001C5E23"/>
    <w:rsid w:val="001D0BA6"/>
    <w:rsid w:val="001D1813"/>
    <w:rsid w:val="001D2004"/>
    <w:rsid w:val="001D23E6"/>
    <w:rsid w:val="001D37DF"/>
    <w:rsid w:val="001D4770"/>
    <w:rsid w:val="001D5619"/>
    <w:rsid w:val="001D5BDC"/>
    <w:rsid w:val="001D5E36"/>
    <w:rsid w:val="001D647F"/>
    <w:rsid w:val="001D6857"/>
    <w:rsid w:val="001D7039"/>
    <w:rsid w:val="001E0572"/>
    <w:rsid w:val="001E0A67"/>
    <w:rsid w:val="001E1028"/>
    <w:rsid w:val="001E14E2"/>
    <w:rsid w:val="001E19D6"/>
    <w:rsid w:val="001E200F"/>
    <w:rsid w:val="001E476D"/>
    <w:rsid w:val="001E5619"/>
    <w:rsid w:val="001E5E96"/>
    <w:rsid w:val="001E6302"/>
    <w:rsid w:val="001E7BCE"/>
    <w:rsid w:val="001E7DCB"/>
    <w:rsid w:val="001E7E13"/>
    <w:rsid w:val="001F11E6"/>
    <w:rsid w:val="001F13D8"/>
    <w:rsid w:val="001F1543"/>
    <w:rsid w:val="001F27A9"/>
    <w:rsid w:val="001F3411"/>
    <w:rsid w:val="001F40B8"/>
    <w:rsid w:val="001F4287"/>
    <w:rsid w:val="001F46A5"/>
    <w:rsid w:val="001F4BAC"/>
    <w:rsid w:val="001F4DBA"/>
    <w:rsid w:val="001F515D"/>
    <w:rsid w:val="001F5E2C"/>
    <w:rsid w:val="001F61CF"/>
    <w:rsid w:val="001F6C6A"/>
    <w:rsid w:val="001F6FD7"/>
    <w:rsid w:val="001F6FEF"/>
    <w:rsid w:val="00200428"/>
    <w:rsid w:val="002008C7"/>
    <w:rsid w:val="00201D46"/>
    <w:rsid w:val="00202031"/>
    <w:rsid w:val="00202D3F"/>
    <w:rsid w:val="002030BD"/>
    <w:rsid w:val="00203389"/>
    <w:rsid w:val="00203E1D"/>
    <w:rsid w:val="0020415E"/>
    <w:rsid w:val="00204C94"/>
    <w:rsid w:val="00204FF4"/>
    <w:rsid w:val="002065DD"/>
    <w:rsid w:val="00210050"/>
    <w:rsid w:val="0021056E"/>
    <w:rsid w:val="0021075D"/>
    <w:rsid w:val="0021165A"/>
    <w:rsid w:val="00211BC9"/>
    <w:rsid w:val="00212942"/>
    <w:rsid w:val="00212DD4"/>
    <w:rsid w:val="00214ACE"/>
    <w:rsid w:val="00215F84"/>
    <w:rsid w:val="0021620C"/>
    <w:rsid w:val="00216E78"/>
    <w:rsid w:val="00217275"/>
    <w:rsid w:val="00217767"/>
    <w:rsid w:val="00217AFD"/>
    <w:rsid w:val="00217C5D"/>
    <w:rsid w:val="00217CD0"/>
    <w:rsid w:val="002211DD"/>
    <w:rsid w:val="00222087"/>
    <w:rsid w:val="00222B16"/>
    <w:rsid w:val="00224959"/>
    <w:rsid w:val="00225BE4"/>
    <w:rsid w:val="00226A93"/>
    <w:rsid w:val="00231A0A"/>
    <w:rsid w:val="00232FCF"/>
    <w:rsid w:val="00236065"/>
    <w:rsid w:val="002365C7"/>
    <w:rsid w:val="00236F4B"/>
    <w:rsid w:val="00237E41"/>
    <w:rsid w:val="00240718"/>
    <w:rsid w:val="0024190D"/>
    <w:rsid w:val="00241D98"/>
    <w:rsid w:val="002424DF"/>
    <w:rsid w:val="00242B0D"/>
    <w:rsid w:val="00242C24"/>
    <w:rsid w:val="00243EDA"/>
    <w:rsid w:val="00244E2D"/>
    <w:rsid w:val="00245812"/>
    <w:rsid w:val="002458CA"/>
    <w:rsid w:val="00245FDA"/>
    <w:rsid w:val="002467C6"/>
    <w:rsid w:val="0024692A"/>
    <w:rsid w:val="00246E9D"/>
    <w:rsid w:val="00247CA2"/>
    <w:rsid w:val="00251680"/>
    <w:rsid w:val="002527B9"/>
    <w:rsid w:val="00252B44"/>
    <w:rsid w:val="00252BBA"/>
    <w:rsid w:val="00253123"/>
    <w:rsid w:val="002535CE"/>
    <w:rsid w:val="00254EF8"/>
    <w:rsid w:val="00255736"/>
    <w:rsid w:val="00255C1A"/>
    <w:rsid w:val="002603BE"/>
    <w:rsid w:val="002613AE"/>
    <w:rsid w:val="00262359"/>
    <w:rsid w:val="002631F9"/>
    <w:rsid w:val="00264001"/>
    <w:rsid w:val="00264907"/>
    <w:rsid w:val="00264EC6"/>
    <w:rsid w:val="002656A2"/>
    <w:rsid w:val="00266354"/>
    <w:rsid w:val="002664F3"/>
    <w:rsid w:val="00267A18"/>
    <w:rsid w:val="00271145"/>
    <w:rsid w:val="002715BB"/>
    <w:rsid w:val="00273462"/>
    <w:rsid w:val="0027395B"/>
    <w:rsid w:val="00273DB5"/>
    <w:rsid w:val="0027456E"/>
    <w:rsid w:val="00275854"/>
    <w:rsid w:val="00275B90"/>
    <w:rsid w:val="0028145E"/>
    <w:rsid w:val="00281883"/>
    <w:rsid w:val="002830B7"/>
    <w:rsid w:val="0028374A"/>
    <w:rsid w:val="00283B41"/>
    <w:rsid w:val="00285E6F"/>
    <w:rsid w:val="00285F28"/>
    <w:rsid w:val="00286398"/>
    <w:rsid w:val="00287B64"/>
    <w:rsid w:val="00290F5A"/>
    <w:rsid w:val="00291497"/>
    <w:rsid w:val="00291E45"/>
    <w:rsid w:val="00292468"/>
    <w:rsid w:val="002945D0"/>
    <w:rsid w:val="002947E3"/>
    <w:rsid w:val="00296473"/>
    <w:rsid w:val="0029664F"/>
    <w:rsid w:val="0029717E"/>
    <w:rsid w:val="002A264E"/>
    <w:rsid w:val="002A3BBF"/>
    <w:rsid w:val="002A3C42"/>
    <w:rsid w:val="002A4058"/>
    <w:rsid w:val="002A5720"/>
    <w:rsid w:val="002A5D75"/>
    <w:rsid w:val="002A73F0"/>
    <w:rsid w:val="002A7CEA"/>
    <w:rsid w:val="002A7D9E"/>
    <w:rsid w:val="002B0AE7"/>
    <w:rsid w:val="002B173E"/>
    <w:rsid w:val="002B1B1A"/>
    <w:rsid w:val="002B323E"/>
    <w:rsid w:val="002B3D8B"/>
    <w:rsid w:val="002B41E5"/>
    <w:rsid w:val="002B4A52"/>
    <w:rsid w:val="002B5116"/>
    <w:rsid w:val="002B5E95"/>
    <w:rsid w:val="002B63B0"/>
    <w:rsid w:val="002B66AB"/>
    <w:rsid w:val="002B7058"/>
    <w:rsid w:val="002B7228"/>
    <w:rsid w:val="002C3A64"/>
    <w:rsid w:val="002C42B0"/>
    <w:rsid w:val="002C4359"/>
    <w:rsid w:val="002C4B0C"/>
    <w:rsid w:val="002C509A"/>
    <w:rsid w:val="002C53EE"/>
    <w:rsid w:val="002C6E36"/>
    <w:rsid w:val="002C7ADF"/>
    <w:rsid w:val="002C7FB2"/>
    <w:rsid w:val="002D149B"/>
    <w:rsid w:val="002D24F7"/>
    <w:rsid w:val="002D2799"/>
    <w:rsid w:val="002D2CD7"/>
    <w:rsid w:val="002D2DF5"/>
    <w:rsid w:val="002D34D6"/>
    <w:rsid w:val="002D3514"/>
    <w:rsid w:val="002D4DDC"/>
    <w:rsid w:val="002D4F75"/>
    <w:rsid w:val="002D562D"/>
    <w:rsid w:val="002D6493"/>
    <w:rsid w:val="002D7AB6"/>
    <w:rsid w:val="002E06D0"/>
    <w:rsid w:val="002E0C71"/>
    <w:rsid w:val="002E14DD"/>
    <w:rsid w:val="002E179A"/>
    <w:rsid w:val="002E1ACA"/>
    <w:rsid w:val="002E2223"/>
    <w:rsid w:val="002E3144"/>
    <w:rsid w:val="002E3C27"/>
    <w:rsid w:val="002E403A"/>
    <w:rsid w:val="002E58A1"/>
    <w:rsid w:val="002E5FEF"/>
    <w:rsid w:val="002E7F3A"/>
    <w:rsid w:val="002F0432"/>
    <w:rsid w:val="002F051E"/>
    <w:rsid w:val="002F0FDC"/>
    <w:rsid w:val="002F292E"/>
    <w:rsid w:val="002F2AE6"/>
    <w:rsid w:val="002F32C4"/>
    <w:rsid w:val="002F4EDB"/>
    <w:rsid w:val="002F54F8"/>
    <w:rsid w:val="002F6054"/>
    <w:rsid w:val="002F7D1F"/>
    <w:rsid w:val="00301BCC"/>
    <w:rsid w:val="00301FC4"/>
    <w:rsid w:val="003037AF"/>
    <w:rsid w:val="00303FF4"/>
    <w:rsid w:val="00304221"/>
    <w:rsid w:val="003048DA"/>
    <w:rsid w:val="00305B86"/>
    <w:rsid w:val="00307E69"/>
    <w:rsid w:val="00307E6B"/>
    <w:rsid w:val="003106A8"/>
    <w:rsid w:val="00310E13"/>
    <w:rsid w:val="003115F0"/>
    <w:rsid w:val="00311A1F"/>
    <w:rsid w:val="00311C94"/>
    <w:rsid w:val="00313CE2"/>
    <w:rsid w:val="00315109"/>
    <w:rsid w:val="00315713"/>
    <w:rsid w:val="0031686C"/>
    <w:rsid w:val="00316FE0"/>
    <w:rsid w:val="0031712E"/>
    <w:rsid w:val="003178D0"/>
    <w:rsid w:val="00320213"/>
    <w:rsid w:val="003202B3"/>
    <w:rsid w:val="003204C5"/>
    <w:rsid w:val="003204D2"/>
    <w:rsid w:val="003209A2"/>
    <w:rsid w:val="00320C6C"/>
    <w:rsid w:val="003211CF"/>
    <w:rsid w:val="00322545"/>
    <w:rsid w:val="00324071"/>
    <w:rsid w:val="0032605E"/>
    <w:rsid w:val="00326316"/>
    <w:rsid w:val="00326336"/>
    <w:rsid w:val="00326CB6"/>
    <w:rsid w:val="003275D1"/>
    <w:rsid w:val="003277B6"/>
    <w:rsid w:val="00330A2C"/>
    <w:rsid w:val="00330B2A"/>
    <w:rsid w:val="00331E17"/>
    <w:rsid w:val="00332D05"/>
    <w:rsid w:val="00332F4E"/>
    <w:rsid w:val="00333063"/>
    <w:rsid w:val="0033399D"/>
    <w:rsid w:val="00335B3B"/>
    <w:rsid w:val="0033623B"/>
    <w:rsid w:val="003404FD"/>
    <w:rsid w:val="003408E3"/>
    <w:rsid w:val="00341CBF"/>
    <w:rsid w:val="0034211B"/>
    <w:rsid w:val="00342F68"/>
    <w:rsid w:val="00343480"/>
    <w:rsid w:val="0034538D"/>
    <w:rsid w:val="00345512"/>
    <w:rsid w:val="0034589C"/>
    <w:rsid w:val="00345E89"/>
    <w:rsid w:val="00346837"/>
    <w:rsid w:val="003469CB"/>
    <w:rsid w:val="00347F47"/>
    <w:rsid w:val="00351C25"/>
    <w:rsid w:val="00351F38"/>
    <w:rsid w:val="003522A1"/>
    <w:rsid w:val="00352340"/>
    <w:rsid w:val="0035254B"/>
    <w:rsid w:val="00353555"/>
    <w:rsid w:val="00355C24"/>
    <w:rsid w:val="00355C9D"/>
    <w:rsid w:val="00355E5D"/>
    <w:rsid w:val="003565D4"/>
    <w:rsid w:val="003565FD"/>
    <w:rsid w:val="00356711"/>
    <w:rsid w:val="00360554"/>
    <w:rsid w:val="0036055B"/>
    <w:rsid w:val="003607FB"/>
    <w:rsid w:val="00360FD5"/>
    <w:rsid w:val="00361E84"/>
    <w:rsid w:val="00362A51"/>
    <w:rsid w:val="0036340D"/>
    <w:rsid w:val="003634A5"/>
    <w:rsid w:val="003655C6"/>
    <w:rsid w:val="00365739"/>
    <w:rsid w:val="0036675E"/>
    <w:rsid w:val="00366868"/>
    <w:rsid w:val="0036741D"/>
    <w:rsid w:val="00367506"/>
    <w:rsid w:val="00370085"/>
    <w:rsid w:val="00370EB4"/>
    <w:rsid w:val="00372490"/>
    <w:rsid w:val="00373475"/>
    <w:rsid w:val="003744A7"/>
    <w:rsid w:val="003744C7"/>
    <w:rsid w:val="0037459C"/>
    <w:rsid w:val="00375665"/>
    <w:rsid w:val="00376235"/>
    <w:rsid w:val="003762E4"/>
    <w:rsid w:val="003778F1"/>
    <w:rsid w:val="00377A3A"/>
    <w:rsid w:val="00381F5E"/>
    <w:rsid w:val="00381FB6"/>
    <w:rsid w:val="00382601"/>
    <w:rsid w:val="003830B1"/>
    <w:rsid w:val="003835C2"/>
    <w:rsid w:val="0038361E"/>
    <w:rsid w:val="003836D3"/>
    <w:rsid w:val="00383A52"/>
    <w:rsid w:val="00383DB1"/>
    <w:rsid w:val="00383ED9"/>
    <w:rsid w:val="00387221"/>
    <w:rsid w:val="00390F07"/>
    <w:rsid w:val="00391652"/>
    <w:rsid w:val="003923EB"/>
    <w:rsid w:val="0039507F"/>
    <w:rsid w:val="00395A51"/>
    <w:rsid w:val="0039677B"/>
    <w:rsid w:val="00396F5D"/>
    <w:rsid w:val="003A0103"/>
    <w:rsid w:val="003A02E6"/>
    <w:rsid w:val="003A0ED1"/>
    <w:rsid w:val="003A1260"/>
    <w:rsid w:val="003A295F"/>
    <w:rsid w:val="003A29EB"/>
    <w:rsid w:val="003A378B"/>
    <w:rsid w:val="003A41DD"/>
    <w:rsid w:val="003A4CD4"/>
    <w:rsid w:val="003A4E0D"/>
    <w:rsid w:val="003A5DC7"/>
    <w:rsid w:val="003A6420"/>
    <w:rsid w:val="003A6BDF"/>
    <w:rsid w:val="003A7033"/>
    <w:rsid w:val="003A75FF"/>
    <w:rsid w:val="003B02DC"/>
    <w:rsid w:val="003B0325"/>
    <w:rsid w:val="003B0D79"/>
    <w:rsid w:val="003B1170"/>
    <w:rsid w:val="003B146D"/>
    <w:rsid w:val="003B169D"/>
    <w:rsid w:val="003B1D1E"/>
    <w:rsid w:val="003B2224"/>
    <w:rsid w:val="003B3062"/>
    <w:rsid w:val="003B3A73"/>
    <w:rsid w:val="003B41A9"/>
    <w:rsid w:val="003B430C"/>
    <w:rsid w:val="003B47FE"/>
    <w:rsid w:val="003B5673"/>
    <w:rsid w:val="003B6287"/>
    <w:rsid w:val="003B62C9"/>
    <w:rsid w:val="003B6375"/>
    <w:rsid w:val="003B77AE"/>
    <w:rsid w:val="003B7DFC"/>
    <w:rsid w:val="003C0849"/>
    <w:rsid w:val="003C09D1"/>
    <w:rsid w:val="003C0F5C"/>
    <w:rsid w:val="003C1076"/>
    <w:rsid w:val="003C2145"/>
    <w:rsid w:val="003C27C3"/>
    <w:rsid w:val="003C2832"/>
    <w:rsid w:val="003C3C58"/>
    <w:rsid w:val="003C46A1"/>
    <w:rsid w:val="003C4DD7"/>
    <w:rsid w:val="003C52C8"/>
    <w:rsid w:val="003C5D0D"/>
    <w:rsid w:val="003C6905"/>
    <w:rsid w:val="003C7176"/>
    <w:rsid w:val="003C752D"/>
    <w:rsid w:val="003D0929"/>
    <w:rsid w:val="003D13BC"/>
    <w:rsid w:val="003D2776"/>
    <w:rsid w:val="003D2899"/>
    <w:rsid w:val="003D2AD6"/>
    <w:rsid w:val="003D34E0"/>
    <w:rsid w:val="003D3946"/>
    <w:rsid w:val="003D4729"/>
    <w:rsid w:val="003D6883"/>
    <w:rsid w:val="003D77E1"/>
    <w:rsid w:val="003D7DD6"/>
    <w:rsid w:val="003E052F"/>
    <w:rsid w:val="003E4FB4"/>
    <w:rsid w:val="003E5A9D"/>
    <w:rsid w:val="003E5AAF"/>
    <w:rsid w:val="003E600D"/>
    <w:rsid w:val="003E64DF"/>
    <w:rsid w:val="003E6A5D"/>
    <w:rsid w:val="003F193A"/>
    <w:rsid w:val="003F1D32"/>
    <w:rsid w:val="003F3B2B"/>
    <w:rsid w:val="003F3C4F"/>
    <w:rsid w:val="003F402B"/>
    <w:rsid w:val="003F4207"/>
    <w:rsid w:val="003F53E3"/>
    <w:rsid w:val="003F5C46"/>
    <w:rsid w:val="003F701C"/>
    <w:rsid w:val="003F7CBB"/>
    <w:rsid w:val="003F7D34"/>
    <w:rsid w:val="00404716"/>
    <w:rsid w:val="00404DA1"/>
    <w:rsid w:val="00405B11"/>
    <w:rsid w:val="004075E2"/>
    <w:rsid w:val="00407E88"/>
    <w:rsid w:val="00410AB2"/>
    <w:rsid w:val="00410C51"/>
    <w:rsid w:val="00410C80"/>
    <w:rsid w:val="00412C8E"/>
    <w:rsid w:val="0041313B"/>
    <w:rsid w:val="0041440D"/>
    <w:rsid w:val="0041518D"/>
    <w:rsid w:val="004159F6"/>
    <w:rsid w:val="00416934"/>
    <w:rsid w:val="00416975"/>
    <w:rsid w:val="004176D1"/>
    <w:rsid w:val="0042024D"/>
    <w:rsid w:val="004203DC"/>
    <w:rsid w:val="00421CA7"/>
    <w:rsid w:val="0042203B"/>
    <w:rsid w:val="0042221D"/>
    <w:rsid w:val="00424DD3"/>
    <w:rsid w:val="004256EC"/>
    <w:rsid w:val="004269C5"/>
    <w:rsid w:val="004271F9"/>
    <w:rsid w:val="004275DE"/>
    <w:rsid w:val="0043097A"/>
    <w:rsid w:val="00431169"/>
    <w:rsid w:val="00431F5C"/>
    <w:rsid w:val="004329CD"/>
    <w:rsid w:val="00432A5B"/>
    <w:rsid w:val="004333A1"/>
    <w:rsid w:val="0043368A"/>
    <w:rsid w:val="0043549D"/>
    <w:rsid w:val="00435939"/>
    <w:rsid w:val="004365D0"/>
    <w:rsid w:val="0043711E"/>
    <w:rsid w:val="00437CC7"/>
    <w:rsid w:val="004402DF"/>
    <w:rsid w:val="0044143E"/>
    <w:rsid w:val="00442B9C"/>
    <w:rsid w:val="004431DE"/>
    <w:rsid w:val="004434C8"/>
    <w:rsid w:val="00444421"/>
    <w:rsid w:val="00445EFA"/>
    <w:rsid w:val="00447260"/>
    <w:rsid w:val="0044738A"/>
    <w:rsid w:val="004473D3"/>
    <w:rsid w:val="00452231"/>
    <w:rsid w:val="00452BC6"/>
    <w:rsid w:val="00452D4F"/>
    <w:rsid w:val="00454313"/>
    <w:rsid w:val="00454955"/>
    <w:rsid w:val="00454BD1"/>
    <w:rsid w:val="00455363"/>
    <w:rsid w:val="00455C1E"/>
    <w:rsid w:val="00456040"/>
    <w:rsid w:val="0045737C"/>
    <w:rsid w:val="0046018C"/>
    <w:rsid w:val="00460C13"/>
    <w:rsid w:val="004622AF"/>
    <w:rsid w:val="0046278E"/>
    <w:rsid w:val="00462798"/>
    <w:rsid w:val="00462D64"/>
    <w:rsid w:val="00462E79"/>
    <w:rsid w:val="00463228"/>
    <w:rsid w:val="00463782"/>
    <w:rsid w:val="00463ED9"/>
    <w:rsid w:val="00464B95"/>
    <w:rsid w:val="004655C1"/>
    <w:rsid w:val="00465722"/>
    <w:rsid w:val="004667E0"/>
    <w:rsid w:val="0046755D"/>
    <w:rsid w:val="0046760E"/>
    <w:rsid w:val="00467889"/>
    <w:rsid w:val="00467EF9"/>
    <w:rsid w:val="00470E10"/>
    <w:rsid w:val="0047164A"/>
    <w:rsid w:val="00471B57"/>
    <w:rsid w:val="00471E3F"/>
    <w:rsid w:val="004722B1"/>
    <w:rsid w:val="004724FA"/>
    <w:rsid w:val="00472632"/>
    <w:rsid w:val="00472834"/>
    <w:rsid w:val="00474801"/>
    <w:rsid w:val="00474AC5"/>
    <w:rsid w:val="004763B0"/>
    <w:rsid w:val="004779F5"/>
    <w:rsid w:val="00477A97"/>
    <w:rsid w:val="004808C6"/>
    <w:rsid w:val="004809D0"/>
    <w:rsid w:val="00481343"/>
    <w:rsid w:val="00482128"/>
    <w:rsid w:val="004822FC"/>
    <w:rsid w:val="00482F82"/>
    <w:rsid w:val="00483B02"/>
    <w:rsid w:val="0048549E"/>
    <w:rsid w:val="00485743"/>
    <w:rsid w:val="0048574A"/>
    <w:rsid w:val="00490C8B"/>
    <w:rsid w:val="00491D1C"/>
    <w:rsid w:val="00491E49"/>
    <w:rsid w:val="00491FFA"/>
    <w:rsid w:val="00492017"/>
    <w:rsid w:val="00492760"/>
    <w:rsid w:val="00492B3D"/>
    <w:rsid w:val="004930C6"/>
    <w:rsid w:val="004931DA"/>
    <w:rsid w:val="00493347"/>
    <w:rsid w:val="0049339B"/>
    <w:rsid w:val="00494FED"/>
    <w:rsid w:val="00495085"/>
    <w:rsid w:val="004954F6"/>
    <w:rsid w:val="00495907"/>
    <w:rsid w:val="00496092"/>
    <w:rsid w:val="004963ED"/>
    <w:rsid w:val="004A03FF"/>
    <w:rsid w:val="004A08DB"/>
    <w:rsid w:val="004A0AB8"/>
    <w:rsid w:val="004A1D29"/>
    <w:rsid w:val="004A25D0"/>
    <w:rsid w:val="004A37E8"/>
    <w:rsid w:val="004A3B29"/>
    <w:rsid w:val="004A426D"/>
    <w:rsid w:val="004A52E4"/>
    <w:rsid w:val="004A550E"/>
    <w:rsid w:val="004A7549"/>
    <w:rsid w:val="004B00A9"/>
    <w:rsid w:val="004B09D4"/>
    <w:rsid w:val="004B15F8"/>
    <w:rsid w:val="004B2606"/>
    <w:rsid w:val="004B309D"/>
    <w:rsid w:val="004B330A"/>
    <w:rsid w:val="004B42D0"/>
    <w:rsid w:val="004B6235"/>
    <w:rsid w:val="004B68BE"/>
    <w:rsid w:val="004B7646"/>
    <w:rsid w:val="004B7C8E"/>
    <w:rsid w:val="004C0EB6"/>
    <w:rsid w:val="004C12D9"/>
    <w:rsid w:val="004C1AAA"/>
    <w:rsid w:val="004C205A"/>
    <w:rsid w:val="004C28E9"/>
    <w:rsid w:val="004C3D3C"/>
    <w:rsid w:val="004C4590"/>
    <w:rsid w:val="004C4852"/>
    <w:rsid w:val="004C5070"/>
    <w:rsid w:val="004D08D5"/>
    <w:rsid w:val="004D0EDC"/>
    <w:rsid w:val="004D105F"/>
    <w:rsid w:val="004D1220"/>
    <w:rsid w:val="004D14B3"/>
    <w:rsid w:val="004D1529"/>
    <w:rsid w:val="004D2253"/>
    <w:rsid w:val="004D22CC"/>
    <w:rsid w:val="004D277A"/>
    <w:rsid w:val="004D307C"/>
    <w:rsid w:val="004D3296"/>
    <w:rsid w:val="004D45A9"/>
    <w:rsid w:val="004D46D6"/>
    <w:rsid w:val="004D5514"/>
    <w:rsid w:val="004D56C3"/>
    <w:rsid w:val="004D5982"/>
    <w:rsid w:val="004D5C9C"/>
    <w:rsid w:val="004D62D9"/>
    <w:rsid w:val="004E0338"/>
    <w:rsid w:val="004E13FA"/>
    <w:rsid w:val="004E15DE"/>
    <w:rsid w:val="004E29F8"/>
    <w:rsid w:val="004E2A91"/>
    <w:rsid w:val="004E37B7"/>
    <w:rsid w:val="004E4640"/>
    <w:rsid w:val="004E4FF3"/>
    <w:rsid w:val="004E5527"/>
    <w:rsid w:val="004E56A8"/>
    <w:rsid w:val="004E5DA0"/>
    <w:rsid w:val="004E5EA2"/>
    <w:rsid w:val="004E76F4"/>
    <w:rsid w:val="004F1176"/>
    <w:rsid w:val="004F187D"/>
    <w:rsid w:val="004F32CF"/>
    <w:rsid w:val="004F3A66"/>
    <w:rsid w:val="004F3B55"/>
    <w:rsid w:val="004F428E"/>
    <w:rsid w:val="004F4E46"/>
    <w:rsid w:val="004F5B21"/>
    <w:rsid w:val="004F6B7D"/>
    <w:rsid w:val="004F794A"/>
    <w:rsid w:val="005015F6"/>
    <w:rsid w:val="005030C4"/>
    <w:rsid w:val="005031C5"/>
    <w:rsid w:val="005033A8"/>
    <w:rsid w:val="00503C9E"/>
    <w:rsid w:val="00504FDC"/>
    <w:rsid w:val="005070E5"/>
    <w:rsid w:val="00507912"/>
    <w:rsid w:val="005103C4"/>
    <w:rsid w:val="00510ED4"/>
    <w:rsid w:val="005120CC"/>
    <w:rsid w:val="00512A8B"/>
    <w:rsid w:val="00512B7B"/>
    <w:rsid w:val="005139E2"/>
    <w:rsid w:val="00513AF4"/>
    <w:rsid w:val="00514EA1"/>
    <w:rsid w:val="00515140"/>
    <w:rsid w:val="00516E16"/>
    <w:rsid w:val="0051798B"/>
    <w:rsid w:val="00520355"/>
    <w:rsid w:val="00520B61"/>
    <w:rsid w:val="00520B8F"/>
    <w:rsid w:val="00521DD2"/>
    <w:rsid w:val="00521F5A"/>
    <w:rsid w:val="005220ED"/>
    <w:rsid w:val="005224DA"/>
    <w:rsid w:val="00522A2C"/>
    <w:rsid w:val="00523C07"/>
    <w:rsid w:val="005250A1"/>
    <w:rsid w:val="0052596D"/>
    <w:rsid w:val="00525E06"/>
    <w:rsid w:val="00525EFC"/>
    <w:rsid w:val="00526454"/>
    <w:rsid w:val="00526C03"/>
    <w:rsid w:val="00531823"/>
    <w:rsid w:val="005326E8"/>
    <w:rsid w:val="005329FA"/>
    <w:rsid w:val="005335D6"/>
    <w:rsid w:val="00534015"/>
    <w:rsid w:val="00534BD3"/>
    <w:rsid w:val="00534ECC"/>
    <w:rsid w:val="00534F8A"/>
    <w:rsid w:val="005354FE"/>
    <w:rsid w:val="00535DFA"/>
    <w:rsid w:val="0053720D"/>
    <w:rsid w:val="00537E99"/>
    <w:rsid w:val="00537F7D"/>
    <w:rsid w:val="00540EF5"/>
    <w:rsid w:val="005413AB"/>
    <w:rsid w:val="00541BF3"/>
    <w:rsid w:val="00541CD3"/>
    <w:rsid w:val="00542DAB"/>
    <w:rsid w:val="00543FDF"/>
    <w:rsid w:val="005461BE"/>
    <w:rsid w:val="005470AE"/>
    <w:rsid w:val="005476FA"/>
    <w:rsid w:val="005505AF"/>
    <w:rsid w:val="005519F5"/>
    <w:rsid w:val="00552445"/>
    <w:rsid w:val="00553591"/>
    <w:rsid w:val="00554762"/>
    <w:rsid w:val="00554D51"/>
    <w:rsid w:val="0055511B"/>
    <w:rsid w:val="00555929"/>
    <w:rsid w:val="0055595E"/>
    <w:rsid w:val="00557988"/>
    <w:rsid w:val="00560DDF"/>
    <w:rsid w:val="0056127C"/>
    <w:rsid w:val="00561885"/>
    <w:rsid w:val="0056258F"/>
    <w:rsid w:val="00562B1F"/>
    <w:rsid w:val="00562C49"/>
    <w:rsid w:val="00562DEF"/>
    <w:rsid w:val="005631EF"/>
    <w:rsid w:val="0056321A"/>
    <w:rsid w:val="00563262"/>
    <w:rsid w:val="00563A35"/>
    <w:rsid w:val="00564622"/>
    <w:rsid w:val="00566596"/>
    <w:rsid w:val="00570FE1"/>
    <w:rsid w:val="005712FE"/>
    <w:rsid w:val="005718F3"/>
    <w:rsid w:val="0057240C"/>
    <w:rsid w:val="00572AC5"/>
    <w:rsid w:val="00572EF1"/>
    <w:rsid w:val="005735AE"/>
    <w:rsid w:val="005735E7"/>
    <w:rsid w:val="00573A83"/>
    <w:rsid w:val="005741E9"/>
    <w:rsid w:val="005748CF"/>
    <w:rsid w:val="00574D0F"/>
    <w:rsid w:val="00577ACC"/>
    <w:rsid w:val="005807E5"/>
    <w:rsid w:val="00580920"/>
    <w:rsid w:val="00581605"/>
    <w:rsid w:val="005826FB"/>
    <w:rsid w:val="00582ACD"/>
    <w:rsid w:val="0058310A"/>
    <w:rsid w:val="00584270"/>
    <w:rsid w:val="00584738"/>
    <w:rsid w:val="00586477"/>
    <w:rsid w:val="00586AC0"/>
    <w:rsid w:val="00587C38"/>
    <w:rsid w:val="00587C94"/>
    <w:rsid w:val="00590428"/>
    <w:rsid w:val="00590610"/>
    <w:rsid w:val="0059086C"/>
    <w:rsid w:val="005920B0"/>
    <w:rsid w:val="00592B16"/>
    <w:rsid w:val="0059380D"/>
    <w:rsid w:val="0059380E"/>
    <w:rsid w:val="00595A8F"/>
    <w:rsid w:val="00596D1E"/>
    <w:rsid w:val="005977C2"/>
    <w:rsid w:val="005977E8"/>
    <w:rsid w:val="00597BF2"/>
    <w:rsid w:val="005A010C"/>
    <w:rsid w:val="005A13BF"/>
    <w:rsid w:val="005A1F54"/>
    <w:rsid w:val="005A20B3"/>
    <w:rsid w:val="005A2513"/>
    <w:rsid w:val="005A2765"/>
    <w:rsid w:val="005A2F53"/>
    <w:rsid w:val="005A2F6C"/>
    <w:rsid w:val="005A3020"/>
    <w:rsid w:val="005A352B"/>
    <w:rsid w:val="005A3AE7"/>
    <w:rsid w:val="005A4D4B"/>
    <w:rsid w:val="005A6799"/>
    <w:rsid w:val="005A7724"/>
    <w:rsid w:val="005B134E"/>
    <w:rsid w:val="005B1CFD"/>
    <w:rsid w:val="005B2039"/>
    <w:rsid w:val="005B24F9"/>
    <w:rsid w:val="005B344F"/>
    <w:rsid w:val="005B3B87"/>
    <w:rsid w:val="005B3FBA"/>
    <w:rsid w:val="005B4A1D"/>
    <w:rsid w:val="005B5479"/>
    <w:rsid w:val="005B674D"/>
    <w:rsid w:val="005B7481"/>
    <w:rsid w:val="005B7781"/>
    <w:rsid w:val="005B791A"/>
    <w:rsid w:val="005B7D1A"/>
    <w:rsid w:val="005C050F"/>
    <w:rsid w:val="005C056D"/>
    <w:rsid w:val="005C0CBE"/>
    <w:rsid w:val="005C1FB1"/>
    <w:rsid w:val="005C1FCF"/>
    <w:rsid w:val="005C2E11"/>
    <w:rsid w:val="005C3713"/>
    <w:rsid w:val="005C3BB2"/>
    <w:rsid w:val="005C3F41"/>
    <w:rsid w:val="005C4585"/>
    <w:rsid w:val="005C5135"/>
    <w:rsid w:val="005C58DC"/>
    <w:rsid w:val="005C65A7"/>
    <w:rsid w:val="005C71D4"/>
    <w:rsid w:val="005C7B0C"/>
    <w:rsid w:val="005D0982"/>
    <w:rsid w:val="005D1885"/>
    <w:rsid w:val="005D3725"/>
    <w:rsid w:val="005D381C"/>
    <w:rsid w:val="005D38BA"/>
    <w:rsid w:val="005D4A38"/>
    <w:rsid w:val="005D588F"/>
    <w:rsid w:val="005D716F"/>
    <w:rsid w:val="005D78EB"/>
    <w:rsid w:val="005E028D"/>
    <w:rsid w:val="005E1C3C"/>
    <w:rsid w:val="005E2EEA"/>
    <w:rsid w:val="005E36A3"/>
    <w:rsid w:val="005E3708"/>
    <w:rsid w:val="005E380E"/>
    <w:rsid w:val="005E3C16"/>
    <w:rsid w:val="005E3CCD"/>
    <w:rsid w:val="005E3D6B"/>
    <w:rsid w:val="005E4056"/>
    <w:rsid w:val="005E488F"/>
    <w:rsid w:val="005E5AA4"/>
    <w:rsid w:val="005E5B55"/>
    <w:rsid w:val="005E5E4A"/>
    <w:rsid w:val="005E5F81"/>
    <w:rsid w:val="005E6015"/>
    <w:rsid w:val="005E693D"/>
    <w:rsid w:val="005E75BF"/>
    <w:rsid w:val="005E7E35"/>
    <w:rsid w:val="005F05CF"/>
    <w:rsid w:val="005F0CB9"/>
    <w:rsid w:val="005F1842"/>
    <w:rsid w:val="005F2A34"/>
    <w:rsid w:val="005F4F78"/>
    <w:rsid w:val="005F51A5"/>
    <w:rsid w:val="005F5576"/>
    <w:rsid w:val="005F57BA"/>
    <w:rsid w:val="005F61E6"/>
    <w:rsid w:val="005F623D"/>
    <w:rsid w:val="005F6C45"/>
    <w:rsid w:val="005F78DC"/>
    <w:rsid w:val="00601115"/>
    <w:rsid w:val="00601F2D"/>
    <w:rsid w:val="00604A3E"/>
    <w:rsid w:val="00605A69"/>
    <w:rsid w:val="00605E3D"/>
    <w:rsid w:val="00606AEE"/>
    <w:rsid w:val="00606C54"/>
    <w:rsid w:val="006074BD"/>
    <w:rsid w:val="00610954"/>
    <w:rsid w:val="006113DE"/>
    <w:rsid w:val="00612636"/>
    <w:rsid w:val="00612870"/>
    <w:rsid w:val="00612AEC"/>
    <w:rsid w:val="00614375"/>
    <w:rsid w:val="00615B0A"/>
    <w:rsid w:val="00615D37"/>
    <w:rsid w:val="006168CF"/>
    <w:rsid w:val="00617090"/>
    <w:rsid w:val="0062011B"/>
    <w:rsid w:val="006207F5"/>
    <w:rsid w:val="006210C8"/>
    <w:rsid w:val="00622051"/>
    <w:rsid w:val="00622F07"/>
    <w:rsid w:val="0062358E"/>
    <w:rsid w:val="00624037"/>
    <w:rsid w:val="00624BCB"/>
    <w:rsid w:val="00626124"/>
    <w:rsid w:val="00626DE0"/>
    <w:rsid w:val="006306CC"/>
    <w:rsid w:val="006307B6"/>
    <w:rsid w:val="006307EA"/>
    <w:rsid w:val="00630901"/>
    <w:rsid w:val="00630D23"/>
    <w:rsid w:val="00631269"/>
    <w:rsid w:val="006318B4"/>
    <w:rsid w:val="00631E55"/>
    <w:rsid w:val="00631F8E"/>
    <w:rsid w:val="006333CE"/>
    <w:rsid w:val="006336FE"/>
    <w:rsid w:val="006353DE"/>
    <w:rsid w:val="00635CF1"/>
    <w:rsid w:val="00636EE9"/>
    <w:rsid w:val="006377B1"/>
    <w:rsid w:val="00637AD5"/>
    <w:rsid w:val="00637BA3"/>
    <w:rsid w:val="006407A9"/>
    <w:rsid w:val="006408CC"/>
    <w:rsid w:val="00640950"/>
    <w:rsid w:val="00640F8D"/>
    <w:rsid w:val="00641250"/>
    <w:rsid w:val="00641AE7"/>
    <w:rsid w:val="00642629"/>
    <w:rsid w:val="006427A2"/>
    <w:rsid w:val="00643023"/>
    <w:rsid w:val="00644E5E"/>
    <w:rsid w:val="006452B6"/>
    <w:rsid w:val="00645668"/>
    <w:rsid w:val="006465B5"/>
    <w:rsid w:val="00646BC0"/>
    <w:rsid w:val="00647670"/>
    <w:rsid w:val="0064782B"/>
    <w:rsid w:val="00647AB0"/>
    <w:rsid w:val="00650A58"/>
    <w:rsid w:val="00650A65"/>
    <w:rsid w:val="0065293D"/>
    <w:rsid w:val="00652F0D"/>
    <w:rsid w:val="00653EFC"/>
    <w:rsid w:val="00654021"/>
    <w:rsid w:val="00654059"/>
    <w:rsid w:val="006546F5"/>
    <w:rsid w:val="00654D55"/>
    <w:rsid w:val="00654DF0"/>
    <w:rsid w:val="006556AB"/>
    <w:rsid w:val="006558EB"/>
    <w:rsid w:val="00655D25"/>
    <w:rsid w:val="00657421"/>
    <w:rsid w:val="00661039"/>
    <w:rsid w:val="00661045"/>
    <w:rsid w:val="00661D78"/>
    <w:rsid w:val="00662F88"/>
    <w:rsid w:val="00664CCB"/>
    <w:rsid w:val="00666852"/>
    <w:rsid w:val="00666DA8"/>
    <w:rsid w:val="006674B7"/>
    <w:rsid w:val="00667DA7"/>
    <w:rsid w:val="006707F0"/>
    <w:rsid w:val="00671057"/>
    <w:rsid w:val="00674D6E"/>
    <w:rsid w:val="00675AAF"/>
    <w:rsid w:val="00675EA1"/>
    <w:rsid w:val="0068031A"/>
    <w:rsid w:val="006817B5"/>
    <w:rsid w:val="00681B2F"/>
    <w:rsid w:val="0068242E"/>
    <w:rsid w:val="0068335F"/>
    <w:rsid w:val="0068357E"/>
    <w:rsid w:val="0068369E"/>
    <w:rsid w:val="006848D7"/>
    <w:rsid w:val="00684F80"/>
    <w:rsid w:val="0068533F"/>
    <w:rsid w:val="00685B27"/>
    <w:rsid w:val="00687217"/>
    <w:rsid w:val="006877C5"/>
    <w:rsid w:val="00690F43"/>
    <w:rsid w:val="00693302"/>
    <w:rsid w:val="0069332E"/>
    <w:rsid w:val="0069640B"/>
    <w:rsid w:val="00696D63"/>
    <w:rsid w:val="006A1758"/>
    <w:rsid w:val="006A1A7F"/>
    <w:rsid w:val="006A1B83"/>
    <w:rsid w:val="006A1E82"/>
    <w:rsid w:val="006A21CD"/>
    <w:rsid w:val="006A474A"/>
    <w:rsid w:val="006A5421"/>
    <w:rsid w:val="006A562B"/>
    <w:rsid w:val="006A5918"/>
    <w:rsid w:val="006A6049"/>
    <w:rsid w:val="006A64CB"/>
    <w:rsid w:val="006A7096"/>
    <w:rsid w:val="006A72EC"/>
    <w:rsid w:val="006A7BDE"/>
    <w:rsid w:val="006B0AE6"/>
    <w:rsid w:val="006B0E39"/>
    <w:rsid w:val="006B21B2"/>
    <w:rsid w:val="006B275B"/>
    <w:rsid w:val="006B3BE8"/>
    <w:rsid w:val="006B4A4A"/>
    <w:rsid w:val="006B5536"/>
    <w:rsid w:val="006C06A0"/>
    <w:rsid w:val="006C19B2"/>
    <w:rsid w:val="006C1AAB"/>
    <w:rsid w:val="006C2698"/>
    <w:rsid w:val="006C4409"/>
    <w:rsid w:val="006C5B2D"/>
    <w:rsid w:val="006C5BB8"/>
    <w:rsid w:val="006C617C"/>
    <w:rsid w:val="006C6936"/>
    <w:rsid w:val="006C762D"/>
    <w:rsid w:val="006C7807"/>
    <w:rsid w:val="006C7B01"/>
    <w:rsid w:val="006D021E"/>
    <w:rsid w:val="006D0FE8"/>
    <w:rsid w:val="006D20BA"/>
    <w:rsid w:val="006D20F9"/>
    <w:rsid w:val="006D2A72"/>
    <w:rsid w:val="006D2CE5"/>
    <w:rsid w:val="006D4064"/>
    <w:rsid w:val="006D4B2B"/>
    <w:rsid w:val="006D4F3C"/>
    <w:rsid w:val="006D4F78"/>
    <w:rsid w:val="006D53BA"/>
    <w:rsid w:val="006D5C66"/>
    <w:rsid w:val="006D6890"/>
    <w:rsid w:val="006D7002"/>
    <w:rsid w:val="006E0981"/>
    <w:rsid w:val="006E0F18"/>
    <w:rsid w:val="006E1B3C"/>
    <w:rsid w:val="006E23FB"/>
    <w:rsid w:val="006E2CE3"/>
    <w:rsid w:val="006E325A"/>
    <w:rsid w:val="006E33EC"/>
    <w:rsid w:val="006E345C"/>
    <w:rsid w:val="006E3802"/>
    <w:rsid w:val="006E3926"/>
    <w:rsid w:val="006E425C"/>
    <w:rsid w:val="006E53FB"/>
    <w:rsid w:val="006E558A"/>
    <w:rsid w:val="006E619E"/>
    <w:rsid w:val="006E6379"/>
    <w:rsid w:val="006E646F"/>
    <w:rsid w:val="006E64CF"/>
    <w:rsid w:val="006E68C9"/>
    <w:rsid w:val="006E6C02"/>
    <w:rsid w:val="006E6C66"/>
    <w:rsid w:val="006E70FB"/>
    <w:rsid w:val="006F0A58"/>
    <w:rsid w:val="006F1F8D"/>
    <w:rsid w:val="006F231A"/>
    <w:rsid w:val="006F50FE"/>
    <w:rsid w:val="006F5326"/>
    <w:rsid w:val="006F610E"/>
    <w:rsid w:val="006F6B55"/>
    <w:rsid w:val="006F7438"/>
    <w:rsid w:val="006F788D"/>
    <w:rsid w:val="006F78E1"/>
    <w:rsid w:val="00701072"/>
    <w:rsid w:val="007017DE"/>
    <w:rsid w:val="00702054"/>
    <w:rsid w:val="007035A4"/>
    <w:rsid w:val="007037F4"/>
    <w:rsid w:val="00703AAF"/>
    <w:rsid w:val="00704E4F"/>
    <w:rsid w:val="00704FBE"/>
    <w:rsid w:val="00705C69"/>
    <w:rsid w:val="0070629F"/>
    <w:rsid w:val="00706ADD"/>
    <w:rsid w:val="00710027"/>
    <w:rsid w:val="00711799"/>
    <w:rsid w:val="00711868"/>
    <w:rsid w:val="007122DB"/>
    <w:rsid w:val="0071249C"/>
    <w:rsid w:val="00712B78"/>
    <w:rsid w:val="0071393B"/>
    <w:rsid w:val="00713CA6"/>
    <w:rsid w:val="00713EE2"/>
    <w:rsid w:val="00714285"/>
    <w:rsid w:val="00715FBD"/>
    <w:rsid w:val="0071679E"/>
    <w:rsid w:val="00717040"/>
    <w:rsid w:val="007172FF"/>
    <w:rsid w:val="007177FC"/>
    <w:rsid w:val="00720488"/>
    <w:rsid w:val="00720C5E"/>
    <w:rsid w:val="00721525"/>
    <w:rsid w:val="00721701"/>
    <w:rsid w:val="00723784"/>
    <w:rsid w:val="007239E9"/>
    <w:rsid w:val="00723BA3"/>
    <w:rsid w:val="0072638D"/>
    <w:rsid w:val="007263D9"/>
    <w:rsid w:val="00726B70"/>
    <w:rsid w:val="00727E73"/>
    <w:rsid w:val="00731835"/>
    <w:rsid w:val="00731A0C"/>
    <w:rsid w:val="007328D2"/>
    <w:rsid w:val="007341F8"/>
    <w:rsid w:val="00734372"/>
    <w:rsid w:val="00734EB8"/>
    <w:rsid w:val="00735248"/>
    <w:rsid w:val="00735292"/>
    <w:rsid w:val="00735AD7"/>
    <w:rsid w:val="00735F8B"/>
    <w:rsid w:val="00737F8A"/>
    <w:rsid w:val="00740261"/>
    <w:rsid w:val="007406E8"/>
    <w:rsid w:val="0074090B"/>
    <w:rsid w:val="007416E7"/>
    <w:rsid w:val="00742D1F"/>
    <w:rsid w:val="007438C8"/>
    <w:rsid w:val="00743EBA"/>
    <w:rsid w:val="007449AA"/>
    <w:rsid w:val="00744C8E"/>
    <w:rsid w:val="00745211"/>
    <w:rsid w:val="007459C7"/>
    <w:rsid w:val="00745EF6"/>
    <w:rsid w:val="0074655A"/>
    <w:rsid w:val="0074707E"/>
    <w:rsid w:val="007511E1"/>
    <w:rsid w:val="007516DC"/>
    <w:rsid w:val="00752E58"/>
    <w:rsid w:val="00754B80"/>
    <w:rsid w:val="0075583A"/>
    <w:rsid w:val="0075691E"/>
    <w:rsid w:val="00757D08"/>
    <w:rsid w:val="00760BAB"/>
    <w:rsid w:val="00761540"/>
    <w:rsid w:val="00761918"/>
    <w:rsid w:val="00762982"/>
    <w:rsid w:val="00762F03"/>
    <w:rsid w:val="007631E7"/>
    <w:rsid w:val="00763905"/>
    <w:rsid w:val="0076390B"/>
    <w:rsid w:val="00764116"/>
    <w:rsid w:val="0076413B"/>
    <w:rsid w:val="00764608"/>
    <w:rsid w:val="007648AE"/>
    <w:rsid w:val="00764BF8"/>
    <w:rsid w:val="0076514D"/>
    <w:rsid w:val="00770376"/>
    <w:rsid w:val="00770B24"/>
    <w:rsid w:val="00771439"/>
    <w:rsid w:val="007721FC"/>
    <w:rsid w:val="00773410"/>
    <w:rsid w:val="007735CA"/>
    <w:rsid w:val="00773D59"/>
    <w:rsid w:val="00774FC9"/>
    <w:rsid w:val="00775178"/>
    <w:rsid w:val="0077548A"/>
    <w:rsid w:val="00776DAE"/>
    <w:rsid w:val="00776E7B"/>
    <w:rsid w:val="00777B21"/>
    <w:rsid w:val="00777D56"/>
    <w:rsid w:val="00777E4F"/>
    <w:rsid w:val="007807A2"/>
    <w:rsid w:val="00781003"/>
    <w:rsid w:val="00784566"/>
    <w:rsid w:val="00785ED3"/>
    <w:rsid w:val="007863D1"/>
    <w:rsid w:val="00787CD9"/>
    <w:rsid w:val="0079024C"/>
    <w:rsid w:val="00790B45"/>
    <w:rsid w:val="007911FD"/>
    <w:rsid w:val="00791A97"/>
    <w:rsid w:val="00793930"/>
    <w:rsid w:val="00793DD1"/>
    <w:rsid w:val="00794461"/>
    <w:rsid w:val="00794FEC"/>
    <w:rsid w:val="00795561"/>
    <w:rsid w:val="00796276"/>
    <w:rsid w:val="007964B0"/>
    <w:rsid w:val="00797013"/>
    <w:rsid w:val="00797CA9"/>
    <w:rsid w:val="007A003E"/>
    <w:rsid w:val="007A1965"/>
    <w:rsid w:val="007A2ED1"/>
    <w:rsid w:val="007A328E"/>
    <w:rsid w:val="007A43DF"/>
    <w:rsid w:val="007A46CC"/>
    <w:rsid w:val="007A4BE6"/>
    <w:rsid w:val="007A507D"/>
    <w:rsid w:val="007A5A23"/>
    <w:rsid w:val="007A6D04"/>
    <w:rsid w:val="007B0DC6"/>
    <w:rsid w:val="007B0FF0"/>
    <w:rsid w:val="007B1094"/>
    <w:rsid w:val="007B1762"/>
    <w:rsid w:val="007B19D0"/>
    <w:rsid w:val="007B1B0E"/>
    <w:rsid w:val="007B3320"/>
    <w:rsid w:val="007B3708"/>
    <w:rsid w:val="007B39BC"/>
    <w:rsid w:val="007B53AE"/>
    <w:rsid w:val="007B543D"/>
    <w:rsid w:val="007B55FD"/>
    <w:rsid w:val="007B5C76"/>
    <w:rsid w:val="007B627F"/>
    <w:rsid w:val="007B65E6"/>
    <w:rsid w:val="007B6805"/>
    <w:rsid w:val="007B6D39"/>
    <w:rsid w:val="007B74C7"/>
    <w:rsid w:val="007C2E90"/>
    <w:rsid w:val="007C301F"/>
    <w:rsid w:val="007C4342"/>
    <w:rsid w:val="007C4540"/>
    <w:rsid w:val="007C4A86"/>
    <w:rsid w:val="007C4F41"/>
    <w:rsid w:val="007C65AF"/>
    <w:rsid w:val="007C6DC1"/>
    <w:rsid w:val="007C7AF9"/>
    <w:rsid w:val="007D0B1A"/>
    <w:rsid w:val="007D135D"/>
    <w:rsid w:val="007D149C"/>
    <w:rsid w:val="007D3AAC"/>
    <w:rsid w:val="007D4820"/>
    <w:rsid w:val="007D486F"/>
    <w:rsid w:val="007D53EE"/>
    <w:rsid w:val="007D5CE4"/>
    <w:rsid w:val="007D730F"/>
    <w:rsid w:val="007D7CD8"/>
    <w:rsid w:val="007E0331"/>
    <w:rsid w:val="007E06F9"/>
    <w:rsid w:val="007E3AA7"/>
    <w:rsid w:val="007E3BB1"/>
    <w:rsid w:val="007E46AB"/>
    <w:rsid w:val="007E545F"/>
    <w:rsid w:val="007E5AFF"/>
    <w:rsid w:val="007E5D1B"/>
    <w:rsid w:val="007E68A4"/>
    <w:rsid w:val="007E6EB7"/>
    <w:rsid w:val="007E77D5"/>
    <w:rsid w:val="007F0E75"/>
    <w:rsid w:val="007F17F4"/>
    <w:rsid w:val="007F262D"/>
    <w:rsid w:val="007F29E9"/>
    <w:rsid w:val="007F328F"/>
    <w:rsid w:val="007F4177"/>
    <w:rsid w:val="007F6924"/>
    <w:rsid w:val="007F719B"/>
    <w:rsid w:val="007F737D"/>
    <w:rsid w:val="007F7BD8"/>
    <w:rsid w:val="008002CE"/>
    <w:rsid w:val="00800DBF"/>
    <w:rsid w:val="00800EB4"/>
    <w:rsid w:val="008013C4"/>
    <w:rsid w:val="00801D75"/>
    <w:rsid w:val="0080308E"/>
    <w:rsid w:val="00805303"/>
    <w:rsid w:val="00806705"/>
    <w:rsid w:val="00806738"/>
    <w:rsid w:val="0081131F"/>
    <w:rsid w:val="0081148E"/>
    <w:rsid w:val="00811817"/>
    <w:rsid w:val="008118FC"/>
    <w:rsid w:val="00812A9F"/>
    <w:rsid w:val="00813251"/>
    <w:rsid w:val="00813575"/>
    <w:rsid w:val="0081413A"/>
    <w:rsid w:val="008142D5"/>
    <w:rsid w:val="00814CF0"/>
    <w:rsid w:val="00816033"/>
    <w:rsid w:val="0081616C"/>
    <w:rsid w:val="0081798E"/>
    <w:rsid w:val="008202DA"/>
    <w:rsid w:val="008216D5"/>
    <w:rsid w:val="00821ED6"/>
    <w:rsid w:val="00823C3C"/>
    <w:rsid w:val="008249CE"/>
    <w:rsid w:val="008257ED"/>
    <w:rsid w:val="008261F3"/>
    <w:rsid w:val="0083074F"/>
    <w:rsid w:val="00830B62"/>
    <w:rsid w:val="008319BB"/>
    <w:rsid w:val="00831A50"/>
    <w:rsid w:val="00831B3C"/>
    <w:rsid w:val="00831C89"/>
    <w:rsid w:val="00832086"/>
    <w:rsid w:val="00832114"/>
    <w:rsid w:val="00832CCD"/>
    <w:rsid w:val="00833ADB"/>
    <w:rsid w:val="00834C46"/>
    <w:rsid w:val="00834CCF"/>
    <w:rsid w:val="00835EDD"/>
    <w:rsid w:val="00836275"/>
    <w:rsid w:val="00836897"/>
    <w:rsid w:val="0084093E"/>
    <w:rsid w:val="008409B7"/>
    <w:rsid w:val="00841429"/>
    <w:rsid w:val="008417BF"/>
    <w:rsid w:val="00841A7A"/>
    <w:rsid w:val="00841CE1"/>
    <w:rsid w:val="00843BE7"/>
    <w:rsid w:val="00844585"/>
    <w:rsid w:val="00845610"/>
    <w:rsid w:val="00846FDA"/>
    <w:rsid w:val="00847383"/>
    <w:rsid w:val="008473D8"/>
    <w:rsid w:val="00850A61"/>
    <w:rsid w:val="00850BE9"/>
    <w:rsid w:val="00851016"/>
    <w:rsid w:val="008510B9"/>
    <w:rsid w:val="008519EB"/>
    <w:rsid w:val="008528DC"/>
    <w:rsid w:val="00852B8C"/>
    <w:rsid w:val="0085303D"/>
    <w:rsid w:val="00854981"/>
    <w:rsid w:val="008551BB"/>
    <w:rsid w:val="008559AC"/>
    <w:rsid w:val="008561E2"/>
    <w:rsid w:val="00861B0B"/>
    <w:rsid w:val="0086239B"/>
    <w:rsid w:val="00863295"/>
    <w:rsid w:val="00863848"/>
    <w:rsid w:val="008645DD"/>
    <w:rsid w:val="008647EC"/>
    <w:rsid w:val="00864B2E"/>
    <w:rsid w:val="00865494"/>
    <w:rsid w:val="0086581C"/>
    <w:rsid w:val="00865963"/>
    <w:rsid w:val="00865AB7"/>
    <w:rsid w:val="00867179"/>
    <w:rsid w:val="00871C1D"/>
    <w:rsid w:val="008729D3"/>
    <w:rsid w:val="00873DF3"/>
    <w:rsid w:val="0087450E"/>
    <w:rsid w:val="008753B6"/>
    <w:rsid w:val="008758FE"/>
    <w:rsid w:val="00875A82"/>
    <w:rsid w:val="008766F7"/>
    <w:rsid w:val="00876826"/>
    <w:rsid w:val="00876CA3"/>
    <w:rsid w:val="00876E0C"/>
    <w:rsid w:val="00877155"/>
    <w:rsid w:val="008772FE"/>
    <w:rsid w:val="008775F1"/>
    <w:rsid w:val="00877800"/>
    <w:rsid w:val="00877919"/>
    <w:rsid w:val="00880915"/>
    <w:rsid w:val="00880D4A"/>
    <w:rsid w:val="00881390"/>
    <w:rsid w:val="008821AE"/>
    <w:rsid w:val="00883628"/>
    <w:rsid w:val="00883D3A"/>
    <w:rsid w:val="00884A61"/>
    <w:rsid w:val="008854F7"/>
    <w:rsid w:val="0088590F"/>
    <w:rsid w:val="00885A9D"/>
    <w:rsid w:val="00885EDD"/>
    <w:rsid w:val="00886451"/>
    <w:rsid w:val="00886E38"/>
    <w:rsid w:val="0089079F"/>
    <w:rsid w:val="008929D2"/>
    <w:rsid w:val="00893356"/>
    <w:rsid w:val="00893636"/>
    <w:rsid w:val="00893B94"/>
    <w:rsid w:val="00893C8B"/>
    <w:rsid w:val="008944E5"/>
    <w:rsid w:val="00896634"/>
    <w:rsid w:val="00896E9D"/>
    <w:rsid w:val="00896F11"/>
    <w:rsid w:val="00897516"/>
    <w:rsid w:val="008A00BC"/>
    <w:rsid w:val="008A01F2"/>
    <w:rsid w:val="008A1049"/>
    <w:rsid w:val="008A161E"/>
    <w:rsid w:val="008A1C98"/>
    <w:rsid w:val="008A2010"/>
    <w:rsid w:val="008A2F0E"/>
    <w:rsid w:val="008A322D"/>
    <w:rsid w:val="008A4D72"/>
    <w:rsid w:val="008A621C"/>
    <w:rsid w:val="008A6285"/>
    <w:rsid w:val="008A63B2"/>
    <w:rsid w:val="008A7DAF"/>
    <w:rsid w:val="008B1BA2"/>
    <w:rsid w:val="008B1C1F"/>
    <w:rsid w:val="008B3177"/>
    <w:rsid w:val="008B345D"/>
    <w:rsid w:val="008B355E"/>
    <w:rsid w:val="008B4154"/>
    <w:rsid w:val="008B47C2"/>
    <w:rsid w:val="008B7CA6"/>
    <w:rsid w:val="008C0313"/>
    <w:rsid w:val="008C0B1F"/>
    <w:rsid w:val="008C0CDE"/>
    <w:rsid w:val="008C1E64"/>
    <w:rsid w:val="008C1FC2"/>
    <w:rsid w:val="008C2980"/>
    <w:rsid w:val="008C3BBF"/>
    <w:rsid w:val="008C3F48"/>
    <w:rsid w:val="008C4818"/>
    <w:rsid w:val="008C4894"/>
    <w:rsid w:val="008C4DD6"/>
    <w:rsid w:val="008C5AFB"/>
    <w:rsid w:val="008C5B96"/>
    <w:rsid w:val="008C70FB"/>
    <w:rsid w:val="008D07FB"/>
    <w:rsid w:val="008D0AAD"/>
    <w:rsid w:val="008D0C02"/>
    <w:rsid w:val="008D2181"/>
    <w:rsid w:val="008D318B"/>
    <w:rsid w:val="008D357D"/>
    <w:rsid w:val="008D42AE"/>
    <w:rsid w:val="008D435A"/>
    <w:rsid w:val="008D52A3"/>
    <w:rsid w:val="008D5574"/>
    <w:rsid w:val="008D5B70"/>
    <w:rsid w:val="008D5D7F"/>
    <w:rsid w:val="008D7205"/>
    <w:rsid w:val="008D73CF"/>
    <w:rsid w:val="008E0D2A"/>
    <w:rsid w:val="008E1CAD"/>
    <w:rsid w:val="008E2DF7"/>
    <w:rsid w:val="008E387B"/>
    <w:rsid w:val="008E4C1C"/>
    <w:rsid w:val="008E4E0B"/>
    <w:rsid w:val="008E6087"/>
    <w:rsid w:val="008E6426"/>
    <w:rsid w:val="008E65D9"/>
    <w:rsid w:val="008E6CCC"/>
    <w:rsid w:val="008E742B"/>
    <w:rsid w:val="008E758D"/>
    <w:rsid w:val="008E7899"/>
    <w:rsid w:val="008F10A7"/>
    <w:rsid w:val="008F1848"/>
    <w:rsid w:val="008F2FA3"/>
    <w:rsid w:val="008F2FED"/>
    <w:rsid w:val="008F30A6"/>
    <w:rsid w:val="008F3A9C"/>
    <w:rsid w:val="008F4A3F"/>
    <w:rsid w:val="008F5248"/>
    <w:rsid w:val="008F570A"/>
    <w:rsid w:val="008F57B1"/>
    <w:rsid w:val="008F6291"/>
    <w:rsid w:val="008F755D"/>
    <w:rsid w:val="008F7A39"/>
    <w:rsid w:val="009001C6"/>
    <w:rsid w:val="00901880"/>
    <w:rsid w:val="00901A8C"/>
    <w:rsid w:val="009021E8"/>
    <w:rsid w:val="009041A3"/>
    <w:rsid w:val="00904677"/>
    <w:rsid w:val="00905EE2"/>
    <w:rsid w:val="00905F5A"/>
    <w:rsid w:val="00910205"/>
    <w:rsid w:val="0091128F"/>
    <w:rsid w:val="00911440"/>
    <w:rsid w:val="00911712"/>
    <w:rsid w:val="00911B27"/>
    <w:rsid w:val="00914A4E"/>
    <w:rsid w:val="00914E98"/>
    <w:rsid w:val="00915289"/>
    <w:rsid w:val="009153B2"/>
    <w:rsid w:val="00915553"/>
    <w:rsid w:val="00915C0D"/>
    <w:rsid w:val="009170BD"/>
    <w:rsid w:val="009170BE"/>
    <w:rsid w:val="00920B55"/>
    <w:rsid w:val="00920D9A"/>
    <w:rsid w:val="0092180F"/>
    <w:rsid w:val="009218C8"/>
    <w:rsid w:val="00921A47"/>
    <w:rsid w:val="00922ACD"/>
    <w:rsid w:val="00922B45"/>
    <w:rsid w:val="00923814"/>
    <w:rsid w:val="00923CD8"/>
    <w:rsid w:val="009262C9"/>
    <w:rsid w:val="00927F3D"/>
    <w:rsid w:val="009300CA"/>
    <w:rsid w:val="009301BF"/>
    <w:rsid w:val="00930C89"/>
    <w:rsid w:val="00930DFD"/>
    <w:rsid w:val="00930EB9"/>
    <w:rsid w:val="009314B8"/>
    <w:rsid w:val="00931B5E"/>
    <w:rsid w:val="009326FC"/>
    <w:rsid w:val="00933650"/>
    <w:rsid w:val="009336BB"/>
    <w:rsid w:val="00933DC7"/>
    <w:rsid w:val="00934340"/>
    <w:rsid w:val="00934791"/>
    <w:rsid w:val="009352C2"/>
    <w:rsid w:val="0093638C"/>
    <w:rsid w:val="00936BC6"/>
    <w:rsid w:val="00936E12"/>
    <w:rsid w:val="009374B0"/>
    <w:rsid w:val="00937EC8"/>
    <w:rsid w:val="00940BE8"/>
    <w:rsid w:val="00940C21"/>
    <w:rsid w:val="00940DC6"/>
    <w:rsid w:val="009418F4"/>
    <w:rsid w:val="00941CB4"/>
    <w:rsid w:val="00942BBC"/>
    <w:rsid w:val="009434AD"/>
    <w:rsid w:val="00943F0A"/>
    <w:rsid w:val="00944180"/>
    <w:rsid w:val="0094466A"/>
    <w:rsid w:val="00944698"/>
    <w:rsid w:val="00944AA0"/>
    <w:rsid w:val="00945184"/>
    <w:rsid w:val="009453A3"/>
    <w:rsid w:val="009468CC"/>
    <w:rsid w:val="00946FB7"/>
    <w:rsid w:val="009473BC"/>
    <w:rsid w:val="0094792F"/>
    <w:rsid w:val="00947DA2"/>
    <w:rsid w:val="00951177"/>
    <w:rsid w:val="009527FF"/>
    <w:rsid w:val="0095286A"/>
    <w:rsid w:val="009530BA"/>
    <w:rsid w:val="0095355F"/>
    <w:rsid w:val="009551BC"/>
    <w:rsid w:val="00956F1C"/>
    <w:rsid w:val="00957282"/>
    <w:rsid w:val="00957FB5"/>
    <w:rsid w:val="00957FF1"/>
    <w:rsid w:val="00962405"/>
    <w:rsid w:val="00962409"/>
    <w:rsid w:val="009626F6"/>
    <w:rsid w:val="00963C65"/>
    <w:rsid w:val="00963CB2"/>
    <w:rsid w:val="00963DCC"/>
    <w:rsid w:val="00964026"/>
    <w:rsid w:val="009644E4"/>
    <w:rsid w:val="00964632"/>
    <w:rsid w:val="009646B7"/>
    <w:rsid w:val="00965120"/>
    <w:rsid w:val="009651D2"/>
    <w:rsid w:val="00965350"/>
    <w:rsid w:val="00965C7B"/>
    <w:rsid w:val="00966192"/>
    <w:rsid w:val="00966C01"/>
    <w:rsid w:val="009673E8"/>
    <w:rsid w:val="00970ECB"/>
    <w:rsid w:val="00971389"/>
    <w:rsid w:val="00971F43"/>
    <w:rsid w:val="00972C86"/>
    <w:rsid w:val="00974DB8"/>
    <w:rsid w:val="00975FB4"/>
    <w:rsid w:val="0097757B"/>
    <w:rsid w:val="009778CB"/>
    <w:rsid w:val="00980661"/>
    <w:rsid w:val="0098093B"/>
    <w:rsid w:val="009815BF"/>
    <w:rsid w:val="009815FD"/>
    <w:rsid w:val="00981EDA"/>
    <w:rsid w:val="00981FF7"/>
    <w:rsid w:val="00982A84"/>
    <w:rsid w:val="00985CCD"/>
    <w:rsid w:val="00986BF3"/>
    <w:rsid w:val="00987366"/>
    <w:rsid w:val="009876D4"/>
    <w:rsid w:val="00990519"/>
    <w:rsid w:val="00990FB7"/>
    <w:rsid w:val="009914A5"/>
    <w:rsid w:val="009926A1"/>
    <w:rsid w:val="00992BE6"/>
    <w:rsid w:val="00993C98"/>
    <w:rsid w:val="00994B7C"/>
    <w:rsid w:val="0099548E"/>
    <w:rsid w:val="00995BF0"/>
    <w:rsid w:val="00995F66"/>
    <w:rsid w:val="00996456"/>
    <w:rsid w:val="00996731"/>
    <w:rsid w:val="00996915"/>
    <w:rsid w:val="00996A12"/>
    <w:rsid w:val="009975AE"/>
    <w:rsid w:val="00997B0F"/>
    <w:rsid w:val="009A0CC3"/>
    <w:rsid w:val="009A0F8B"/>
    <w:rsid w:val="009A1CAD"/>
    <w:rsid w:val="009A1E12"/>
    <w:rsid w:val="009A2D30"/>
    <w:rsid w:val="009A3440"/>
    <w:rsid w:val="009A45B5"/>
    <w:rsid w:val="009A4A94"/>
    <w:rsid w:val="009A5832"/>
    <w:rsid w:val="009A58EA"/>
    <w:rsid w:val="009A60E8"/>
    <w:rsid w:val="009A61DD"/>
    <w:rsid w:val="009A6838"/>
    <w:rsid w:val="009B1FC3"/>
    <w:rsid w:val="009B24B5"/>
    <w:rsid w:val="009B2567"/>
    <w:rsid w:val="009B2783"/>
    <w:rsid w:val="009B32B6"/>
    <w:rsid w:val="009B4EBC"/>
    <w:rsid w:val="009B5530"/>
    <w:rsid w:val="009B5ABB"/>
    <w:rsid w:val="009B6156"/>
    <w:rsid w:val="009B6B2A"/>
    <w:rsid w:val="009B6BAF"/>
    <w:rsid w:val="009B73CE"/>
    <w:rsid w:val="009B7700"/>
    <w:rsid w:val="009C0356"/>
    <w:rsid w:val="009C2461"/>
    <w:rsid w:val="009C349B"/>
    <w:rsid w:val="009C4089"/>
    <w:rsid w:val="009C4802"/>
    <w:rsid w:val="009C4A76"/>
    <w:rsid w:val="009C555E"/>
    <w:rsid w:val="009C5A15"/>
    <w:rsid w:val="009C658F"/>
    <w:rsid w:val="009C697E"/>
    <w:rsid w:val="009C6B00"/>
    <w:rsid w:val="009C6FE2"/>
    <w:rsid w:val="009C7674"/>
    <w:rsid w:val="009D004A"/>
    <w:rsid w:val="009D042E"/>
    <w:rsid w:val="009D1CE7"/>
    <w:rsid w:val="009D33A4"/>
    <w:rsid w:val="009D5390"/>
    <w:rsid w:val="009D586D"/>
    <w:rsid w:val="009D5880"/>
    <w:rsid w:val="009D59C5"/>
    <w:rsid w:val="009D6338"/>
    <w:rsid w:val="009D6CF8"/>
    <w:rsid w:val="009D7720"/>
    <w:rsid w:val="009E0712"/>
    <w:rsid w:val="009E0AB6"/>
    <w:rsid w:val="009E173F"/>
    <w:rsid w:val="009E1FD4"/>
    <w:rsid w:val="009E3313"/>
    <w:rsid w:val="009E3A02"/>
    <w:rsid w:val="009E3B07"/>
    <w:rsid w:val="009E51D1"/>
    <w:rsid w:val="009E5531"/>
    <w:rsid w:val="009E5EFE"/>
    <w:rsid w:val="009E6521"/>
    <w:rsid w:val="009F048C"/>
    <w:rsid w:val="009F171E"/>
    <w:rsid w:val="009F3D2F"/>
    <w:rsid w:val="009F4511"/>
    <w:rsid w:val="009F4670"/>
    <w:rsid w:val="009F536E"/>
    <w:rsid w:val="009F7052"/>
    <w:rsid w:val="00A013F4"/>
    <w:rsid w:val="00A023BE"/>
    <w:rsid w:val="00A02668"/>
    <w:rsid w:val="00A02801"/>
    <w:rsid w:val="00A032CE"/>
    <w:rsid w:val="00A0385A"/>
    <w:rsid w:val="00A0504D"/>
    <w:rsid w:val="00A068BE"/>
    <w:rsid w:val="00A06A39"/>
    <w:rsid w:val="00A07F58"/>
    <w:rsid w:val="00A107BC"/>
    <w:rsid w:val="00A10A6D"/>
    <w:rsid w:val="00A113FE"/>
    <w:rsid w:val="00A1142C"/>
    <w:rsid w:val="00A11B36"/>
    <w:rsid w:val="00A12C32"/>
    <w:rsid w:val="00A131CB"/>
    <w:rsid w:val="00A14408"/>
    <w:rsid w:val="00A14847"/>
    <w:rsid w:val="00A14CAC"/>
    <w:rsid w:val="00A164BB"/>
    <w:rsid w:val="00A16569"/>
    <w:rsid w:val="00A16D6D"/>
    <w:rsid w:val="00A17683"/>
    <w:rsid w:val="00A21383"/>
    <w:rsid w:val="00A21385"/>
    <w:rsid w:val="00A21900"/>
    <w:rsid w:val="00A2199F"/>
    <w:rsid w:val="00A21B31"/>
    <w:rsid w:val="00A2360E"/>
    <w:rsid w:val="00A2374F"/>
    <w:rsid w:val="00A26818"/>
    <w:rsid w:val="00A26E0C"/>
    <w:rsid w:val="00A27737"/>
    <w:rsid w:val="00A30077"/>
    <w:rsid w:val="00A30523"/>
    <w:rsid w:val="00A30784"/>
    <w:rsid w:val="00A314B5"/>
    <w:rsid w:val="00A31823"/>
    <w:rsid w:val="00A32514"/>
    <w:rsid w:val="00A3292B"/>
    <w:rsid w:val="00A32FCB"/>
    <w:rsid w:val="00A3421A"/>
    <w:rsid w:val="00A34C25"/>
    <w:rsid w:val="00A3507D"/>
    <w:rsid w:val="00A36D33"/>
    <w:rsid w:val="00A3717A"/>
    <w:rsid w:val="00A37957"/>
    <w:rsid w:val="00A4088C"/>
    <w:rsid w:val="00A41242"/>
    <w:rsid w:val="00A43811"/>
    <w:rsid w:val="00A4456B"/>
    <w:rsid w:val="00A448D4"/>
    <w:rsid w:val="00A44C8A"/>
    <w:rsid w:val="00A452E0"/>
    <w:rsid w:val="00A45364"/>
    <w:rsid w:val="00A45792"/>
    <w:rsid w:val="00A45D22"/>
    <w:rsid w:val="00A45DBC"/>
    <w:rsid w:val="00A46754"/>
    <w:rsid w:val="00A46EB5"/>
    <w:rsid w:val="00A475D8"/>
    <w:rsid w:val="00A47940"/>
    <w:rsid w:val="00A501F5"/>
    <w:rsid w:val="00A506DF"/>
    <w:rsid w:val="00A50ADF"/>
    <w:rsid w:val="00A50D72"/>
    <w:rsid w:val="00A51AAE"/>
    <w:rsid w:val="00A51BB5"/>
    <w:rsid w:val="00A51EA5"/>
    <w:rsid w:val="00A53742"/>
    <w:rsid w:val="00A54105"/>
    <w:rsid w:val="00A557A1"/>
    <w:rsid w:val="00A55A05"/>
    <w:rsid w:val="00A56F01"/>
    <w:rsid w:val="00A60308"/>
    <w:rsid w:val="00A60ABA"/>
    <w:rsid w:val="00A619BD"/>
    <w:rsid w:val="00A6213A"/>
    <w:rsid w:val="00A63059"/>
    <w:rsid w:val="00A63AE3"/>
    <w:rsid w:val="00A63C8D"/>
    <w:rsid w:val="00A6431B"/>
    <w:rsid w:val="00A651A4"/>
    <w:rsid w:val="00A66038"/>
    <w:rsid w:val="00A661D5"/>
    <w:rsid w:val="00A6711A"/>
    <w:rsid w:val="00A7010C"/>
    <w:rsid w:val="00A71361"/>
    <w:rsid w:val="00A7297F"/>
    <w:rsid w:val="00A734DB"/>
    <w:rsid w:val="00A7405D"/>
    <w:rsid w:val="00A746E2"/>
    <w:rsid w:val="00A7521F"/>
    <w:rsid w:val="00A75A59"/>
    <w:rsid w:val="00A762B8"/>
    <w:rsid w:val="00A76F33"/>
    <w:rsid w:val="00A81FF2"/>
    <w:rsid w:val="00A82B1A"/>
    <w:rsid w:val="00A83359"/>
    <w:rsid w:val="00A83904"/>
    <w:rsid w:val="00A84387"/>
    <w:rsid w:val="00A8503C"/>
    <w:rsid w:val="00A85E90"/>
    <w:rsid w:val="00A877C1"/>
    <w:rsid w:val="00A90037"/>
    <w:rsid w:val="00A90A79"/>
    <w:rsid w:val="00A91E2D"/>
    <w:rsid w:val="00A929AC"/>
    <w:rsid w:val="00A94D1F"/>
    <w:rsid w:val="00A95ECD"/>
    <w:rsid w:val="00A9606F"/>
    <w:rsid w:val="00A96B30"/>
    <w:rsid w:val="00A9738C"/>
    <w:rsid w:val="00AA16DE"/>
    <w:rsid w:val="00AA184B"/>
    <w:rsid w:val="00AA1C0A"/>
    <w:rsid w:val="00AA1F71"/>
    <w:rsid w:val="00AA3283"/>
    <w:rsid w:val="00AA442D"/>
    <w:rsid w:val="00AA469E"/>
    <w:rsid w:val="00AA59B5"/>
    <w:rsid w:val="00AA6B6F"/>
    <w:rsid w:val="00AA6EF3"/>
    <w:rsid w:val="00AA7259"/>
    <w:rsid w:val="00AA7777"/>
    <w:rsid w:val="00AA77CA"/>
    <w:rsid w:val="00AA7B84"/>
    <w:rsid w:val="00AB0BDF"/>
    <w:rsid w:val="00AB0BE8"/>
    <w:rsid w:val="00AB1268"/>
    <w:rsid w:val="00AB20CB"/>
    <w:rsid w:val="00AB30A7"/>
    <w:rsid w:val="00AB45FE"/>
    <w:rsid w:val="00AB5151"/>
    <w:rsid w:val="00AB5E09"/>
    <w:rsid w:val="00AB7439"/>
    <w:rsid w:val="00AB7BD5"/>
    <w:rsid w:val="00AB7CF7"/>
    <w:rsid w:val="00AC04C4"/>
    <w:rsid w:val="00AC0B4C"/>
    <w:rsid w:val="00AC1095"/>
    <w:rsid w:val="00AC1164"/>
    <w:rsid w:val="00AC144B"/>
    <w:rsid w:val="00AC1676"/>
    <w:rsid w:val="00AC2296"/>
    <w:rsid w:val="00AC22EE"/>
    <w:rsid w:val="00AC26CE"/>
    <w:rsid w:val="00AC26E1"/>
    <w:rsid w:val="00AC2754"/>
    <w:rsid w:val="00AC27B6"/>
    <w:rsid w:val="00AC2E0E"/>
    <w:rsid w:val="00AC31CA"/>
    <w:rsid w:val="00AC3A33"/>
    <w:rsid w:val="00AC437F"/>
    <w:rsid w:val="00AC44B0"/>
    <w:rsid w:val="00AC48B0"/>
    <w:rsid w:val="00AC4ACD"/>
    <w:rsid w:val="00AC512C"/>
    <w:rsid w:val="00AC5327"/>
    <w:rsid w:val="00AC5948"/>
    <w:rsid w:val="00AC5B81"/>
    <w:rsid w:val="00AC5DFB"/>
    <w:rsid w:val="00AD0434"/>
    <w:rsid w:val="00AD07BB"/>
    <w:rsid w:val="00AD0BD6"/>
    <w:rsid w:val="00AD13DC"/>
    <w:rsid w:val="00AD24C6"/>
    <w:rsid w:val="00AD3584"/>
    <w:rsid w:val="00AD69F6"/>
    <w:rsid w:val="00AD6DE2"/>
    <w:rsid w:val="00AE0A40"/>
    <w:rsid w:val="00AE1E73"/>
    <w:rsid w:val="00AE1ED4"/>
    <w:rsid w:val="00AE21E1"/>
    <w:rsid w:val="00AE2CBD"/>
    <w:rsid w:val="00AE2F8D"/>
    <w:rsid w:val="00AE3BAE"/>
    <w:rsid w:val="00AE53F5"/>
    <w:rsid w:val="00AE5B64"/>
    <w:rsid w:val="00AE6A21"/>
    <w:rsid w:val="00AE71E9"/>
    <w:rsid w:val="00AE7322"/>
    <w:rsid w:val="00AF1C8F"/>
    <w:rsid w:val="00AF2B68"/>
    <w:rsid w:val="00AF2C92"/>
    <w:rsid w:val="00AF318F"/>
    <w:rsid w:val="00AF37E0"/>
    <w:rsid w:val="00AF3EC1"/>
    <w:rsid w:val="00AF4867"/>
    <w:rsid w:val="00AF5025"/>
    <w:rsid w:val="00AF519F"/>
    <w:rsid w:val="00AF524C"/>
    <w:rsid w:val="00AF5387"/>
    <w:rsid w:val="00AF55F5"/>
    <w:rsid w:val="00AF6725"/>
    <w:rsid w:val="00AF7A1D"/>
    <w:rsid w:val="00AF7C20"/>
    <w:rsid w:val="00AF7E86"/>
    <w:rsid w:val="00B006EA"/>
    <w:rsid w:val="00B007E2"/>
    <w:rsid w:val="00B00C5E"/>
    <w:rsid w:val="00B02444"/>
    <w:rsid w:val="00B024B9"/>
    <w:rsid w:val="00B0261E"/>
    <w:rsid w:val="00B02642"/>
    <w:rsid w:val="00B03865"/>
    <w:rsid w:val="00B051A9"/>
    <w:rsid w:val="00B07619"/>
    <w:rsid w:val="00B0762E"/>
    <w:rsid w:val="00B077FA"/>
    <w:rsid w:val="00B126F7"/>
    <w:rsid w:val="00B127D7"/>
    <w:rsid w:val="00B12EA6"/>
    <w:rsid w:val="00B139DA"/>
    <w:rsid w:val="00B13AAC"/>
    <w:rsid w:val="00B13B0C"/>
    <w:rsid w:val="00B14408"/>
    <w:rsid w:val="00B1453A"/>
    <w:rsid w:val="00B147A8"/>
    <w:rsid w:val="00B14EC8"/>
    <w:rsid w:val="00B16006"/>
    <w:rsid w:val="00B16409"/>
    <w:rsid w:val="00B17F2B"/>
    <w:rsid w:val="00B20F82"/>
    <w:rsid w:val="00B20FE4"/>
    <w:rsid w:val="00B21454"/>
    <w:rsid w:val="00B237FE"/>
    <w:rsid w:val="00B23A59"/>
    <w:rsid w:val="00B25941"/>
    <w:rsid w:val="00B25BD5"/>
    <w:rsid w:val="00B25C3E"/>
    <w:rsid w:val="00B25E1F"/>
    <w:rsid w:val="00B26FA7"/>
    <w:rsid w:val="00B27521"/>
    <w:rsid w:val="00B278E4"/>
    <w:rsid w:val="00B30449"/>
    <w:rsid w:val="00B32C52"/>
    <w:rsid w:val="00B33762"/>
    <w:rsid w:val="00B34079"/>
    <w:rsid w:val="00B35BBA"/>
    <w:rsid w:val="00B37728"/>
    <w:rsid w:val="00B3793A"/>
    <w:rsid w:val="00B401BA"/>
    <w:rsid w:val="00B407E4"/>
    <w:rsid w:val="00B41388"/>
    <w:rsid w:val="00B41606"/>
    <w:rsid w:val="00B4199C"/>
    <w:rsid w:val="00B41C99"/>
    <w:rsid w:val="00B42167"/>
    <w:rsid w:val="00B425B6"/>
    <w:rsid w:val="00B42A72"/>
    <w:rsid w:val="00B42F17"/>
    <w:rsid w:val="00B441AE"/>
    <w:rsid w:val="00B4568C"/>
    <w:rsid w:val="00B45A65"/>
    <w:rsid w:val="00B45F33"/>
    <w:rsid w:val="00B46D50"/>
    <w:rsid w:val="00B47C75"/>
    <w:rsid w:val="00B505A7"/>
    <w:rsid w:val="00B50ADB"/>
    <w:rsid w:val="00B50D4C"/>
    <w:rsid w:val="00B5128E"/>
    <w:rsid w:val="00B51760"/>
    <w:rsid w:val="00B53108"/>
    <w:rsid w:val="00B53170"/>
    <w:rsid w:val="00B53C9A"/>
    <w:rsid w:val="00B53DB9"/>
    <w:rsid w:val="00B5431B"/>
    <w:rsid w:val="00B548B9"/>
    <w:rsid w:val="00B56706"/>
    <w:rsid w:val="00B56D9D"/>
    <w:rsid w:val="00B56DBE"/>
    <w:rsid w:val="00B60A22"/>
    <w:rsid w:val="00B60F09"/>
    <w:rsid w:val="00B619AB"/>
    <w:rsid w:val="00B61EEC"/>
    <w:rsid w:val="00B62999"/>
    <w:rsid w:val="00B63A9B"/>
    <w:rsid w:val="00B63B85"/>
    <w:rsid w:val="00B63BE3"/>
    <w:rsid w:val="00B63EA2"/>
    <w:rsid w:val="00B6425C"/>
    <w:rsid w:val="00B64885"/>
    <w:rsid w:val="00B64A08"/>
    <w:rsid w:val="00B64FA3"/>
    <w:rsid w:val="00B659F5"/>
    <w:rsid w:val="00B6601B"/>
    <w:rsid w:val="00B66124"/>
    <w:rsid w:val="00B665D1"/>
    <w:rsid w:val="00B66810"/>
    <w:rsid w:val="00B71842"/>
    <w:rsid w:val="00B71BF6"/>
    <w:rsid w:val="00B72BE3"/>
    <w:rsid w:val="00B72EDD"/>
    <w:rsid w:val="00B73B80"/>
    <w:rsid w:val="00B74135"/>
    <w:rsid w:val="00B74E2C"/>
    <w:rsid w:val="00B753C6"/>
    <w:rsid w:val="00B75471"/>
    <w:rsid w:val="00B75489"/>
    <w:rsid w:val="00B759D9"/>
    <w:rsid w:val="00B76D25"/>
    <w:rsid w:val="00B76FF1"/>
    <w:rsid w:val="00B770C7"/>
    <w:rsid w:val="00B779EC"/>
    <w:rsid w:val="00B80795"/>
    <w:rsid w:val="00B80F26"/>
    <w:rsid w:val="00B822BD"/>
    <w:rsid w:val="00B822CA"/>
    <w:rsid w:val="00B842F4"/>
    <w:rsid w:val="00B847A2"/>
    <w:rsid w:val="00B84AA1"/>
    <w:rsid w:val="00B84F15"/>
    <w:rsid w:val="00B85547"/>
    <w:rsid w:val="00B85B4D"/>
    <w:rsid w:val="00B86C38"/>
    <w:rsid w:val="00B87FD4"/>
    <w:rsid w:val="00B91A7B"/>
    <w:rsid w:val="00B91AD4"/>
    <w:rsid w:val="00B91BA7"/>
    <w:rsid w:val="00B924C8"/>
    <w:rsid w:val="00B927E0"/>
    <w:rsid w:val="00B92863"/>
    <w:rsid w:val="00B929DD"/>
    <w:rsid w:val="00B93AF6"/>
    <w:rsid w:val="00B93F35"/>
    <w:rsid w:val="00B9493E"/>
    <w:rsid w:val="00B95405"/>
    <w:rsid w:val="00B95828"/>
    <w:rsid w:val="00B962C4"/>
    <w:rsid w:val="00B963F1"/>
    <w:rsid w:val="00B96FE3"/>
    <w:rsid w:val="00BA020A"/>
    <w:rsid w:val="00BA10C8"/>
    <w:rsid w:val="00BA22B6"/>
    <w:rsid w:val="00BA23F4"/>
    <w:rsid w:val="00BA3811"/>
    <w:rsid w:val="00BA495F"/>
    <w:rsid w:val="00BA49F7"/>
    <w:rsid w:val="00BA55B1"/>
    <w:rsid w:val="00BA5EE2"/>
    <w:rsid w:val="00BA6C7E"/>
    <w:rsid w:val="00BB025A"/>
    <w:rsid w:val="00BB02A4"/>
    <w:rsid w:val="00BB1270"/>
    <w:rsid w:val="00BB1691"/>
    <w:rsid w:val="00BB17CC"/>
    <w:rsid w:val="00BB1E44"/>
    <w:rsid w:val="00BB2E79"/>
    <w:rsid w:val="00BB3005"/>
    <w:rsid w:val="00BB38F1"/>
    <w:rsid w:val="00BB4178"/>
    <w:rsid w:val="00BB4B55"/>
    <w:rsid w:val="00BB5267"/>
    <w:rsid w:val="00BB52B8"/>
    <w:rsid w:val="00BB59D8"/>
    <w:rsid w:val="00BB5E16"/>
    <w:rsid w:val="00BB681A"/>
    <w:rsid w:val="00BB6B0C"/>
    <w:rsid w:val="00BB7832"/>
    <w:rsid w:val="00BB7E69"/>
    <w:rsid w:val="00BC0E51"/>
    <w:rsid w:val="00BC107C"/>
    <w:rsid w:val="00BC1720"/>
    <w:rsid w:val="00BC1834"/>
    <w:rsid w:val="00BC1C4E"/>
    <w:rsid w:val="00BC1C57"/>
    <w:rsid w:val="00BC326F"/>
    <w:rsid w:val="00BC3C1F"/>
    <w:rsid w:val="00BC47AF"/>
    <w:rsid w:val="00BC4F4F"/>
    <w:rsid w:val="00BC6513"/>
    <w:rsid w:val="00BC6639"/>
    <w:rsid w:val="00BC6DD4"/>
    <w:rsid w:val="00BC6FB1"/>
    <w:rsid w:val="00BC7CE7"/>
    <w:rsid w:val="00BC7FC3"/>
    <w:rsid w:val="00BD0700"/>
    <w:rsid w:val="00BD0AF9"/>
    <w:rsid w:val="00BD202C"/>
    <w:rsid w:val="00BD2469"/>
    <w:rsid w:val="00BD295E"/>
    <w:rsid w:val="00BD320A"/>
    <w:rsid w:val="00BD3292"/>
    <w:rsid w:val="00BD3AC3"/>
    <w:rsid w:val="00BD4664"/>
    <w:rsid w:val="00BD480E"/>
    <w:rsid w:val="00BD4EC4"/>
    <w:rsid w:val="00BD72D9"/>
    <w:rsid w:val="00BD7C7F"/>
    <w:rsid w:val="00BE0753"/>
    <w:rsid w:val="00BE0CB3"/>
    <w:rsid w:val="00BE1193"/>
    <w:rsid w:val="00BE231F"/>
    <w:rsid w:val="00BE2F72"/>
    <w:rsid w:val="00BE3019"/>
    <w:rsid w:val="00BE36CF"/>
    <w:rsid w:val="00BE3A1D"/>
    <w:rsid w:val="00BE629E"/>
    <w:rsid w:val="00BE666D"/>
    <w:rsid w:val="00BE6FE8"/>
    <w:rsid w:val="00BE758B"/>
    <w:rsid w:val="00BF1DD5"/>
    <w:rsid w:val="00BF248D"/>
    <w:rsid w:val="00BF3214"/>
    <w:rsid w:val="00BF4849"/>
    <w:rsid w:val="00BF4C07"/>
    <w:rsid w:val="00BF4EA7"/>
    <w:rsid w:val="00BF5582"/>
    <w:rsid w:val="00BF6525"/>
    <w:rsid w:val="00BF6C90"/>
    <w:rsid w:val="00C00E52"/>
    <w:rsid w:val="00C00EDB"/>
    <w:rsid w:val="00C0133B"/>
    <w:rsid w:val="00C01F7F"/>
    <w:rsid w:val="00C02863"/>
    <w:rsid w:val="00C02ECA"/>
    <w:rsid w:val="00C0383A"/>
    <w:rsid w:val="00C03C1F"/>
    <w:rsid w:val="00C05DFC"/>
    <w:rsid w:val="00C06342"/>
    <w:rsid w:val="00C0673F"/>
    <w:rsid w:val="00C067FF"/>
    <w:rsid w:val="00C07F3B"/>
    <w:rsid w:val="00C10CE8"/>
    <w:rsid w:val="00C117D1"/>
    <w:rsid w:val="00C12160"/>
    <w:rsid w:val="00C12426"/>
    <w:rsid w:val="00C127CB"/>
    <w:rsid w:val="00C12862"/>
    <w:rsid w:val="00C12A83"/>
    <w:rsid w:val="00C13D28"/>
    <w:rsid w:val="00C14585"/>
    <w:rsid w:val="00C15557"/>
    <w:rsid w:val="00C16198"/>
    <w:rsid w:val="00C165A0"/>
    <w:rsid w:val="00C167C6"/>
    <w:rsid w:val="00C21171"/>
    <w:rsid w:val="00C2137C"/>
    <w:rsid w:val="00C216CE"/>
    <w:rsid w:val="00C216E4"/>
    <w:rsid w:val="00C2184F"/>
    <w:rsid w:val="00C22A78"/>
    <w:rsid w:val="00C22E17"/>
    <w:rsid w:val="00C230AB"/>
    <w:rsid w:val="00C23C6F"/>
    <w:rsid w:val="00C23C7E"/>
    <w:rsid w:val="00C246C5"/>
    <w:rsid w:val="00C2474C"/>
    <w:rsid w:val="00C24CCD"/>
    <w:rsid w:val="00C2516D"/>
    <w:rsid w:val="00C25A82"/>
    <w:rsid w:val="00C26494"/>
    <w:rsid w:val="00C26693"/>
    <w:rsid w:val="00C27610"/>
    <w:rsid w:val="00C302A3"/>
    <w:rsid w:val="00C306FC"/>
    <w:rsid w:val="00C30A2A"/>
    <w:rsid w:val="00C30B8D"/>
    <w:rsid w:val="00C31C2F"/>
    <w:rsid w:val="00C31C70"/>
    <w:rsid w:val="00C33585"/>
    <w:rsid w:val="00C33993"/>
    <w:rsid w:val="00C35B04"/>
    <w:rsid w:val="00C36C41"/>
    <w:rsid w:val="00C375AC"/>
    <w:rsid w:val="00C3761F"/>
    <w:rsid w:val="00C4069E"/>
    <w:rsid w:val="00C41430"/>
    <w:rsid w:val="00C41ADC"/>
    <w:rsid w:val="00C42BD2"/>
    <w:rsid w:val="00C43E95"/>
    <w:rsid w:val="00C4404F"/>
    <w:rsid w:val="00C44149"/>
    <w:rsid w:val="00C44410"/>
    <w:rsid w:val="00C44A15"/>
    <w:rsid w:val="00C4516C"/>
    <w:rsid w:val="00C451AA"/>
    <w:rsid w:val="00C45A7C"/>
    <w:rsid w:val="00C4630A"/>
    <w:rsid w:val="00C474FA"/>
    <w:rsid w:val="00C51F0F"/>
    <w:rsid w:val="00C523F0"/>
    <w:rsid w:val="00C526D2"/>
    <w:rsid w:val="00C52A1E"/>
    <w:rsid w:val="00C5384C"/>
    <w:rsid w:val="00C53A91"/>
    <w:rsid w:val="00C554BC"/>
    <w:rsid w:val="00C559FA"/>
    <w:rsid w:val="00C55F4D"/>
    <w:rsid w:val="00C57052"/>
    <w:rsid w:val="00C5794E"/>
    <w:rsid w:val="00C57CF5"/>
    <w:rsid w:val="00C57D2F"/>
    <w:rsid w:val="00C60968"/>
    <w:rsid w:val="00C61561"/>
    <w:rsid w:val="00C62880"/>
    <w:rsid w:val="00C63D39"/>
    <w:rsid w:val="00C63EDD"/>
    <w:rsid w:val="00C6460F"/>
    <w:rsid w:val="00C65B36"/>
    <w:rsid w:val="00C66F20"/>
    <w:rsid w:val="00C6742B"/>
    <w:rsid w:val="00C67D48"/>
    <w:rsid w:val="00C70AEC"/>
    <w:rsid w:val="00C70FA6"/>
    <w:rsid w:val="00C717D7"/>
    <w:rsid w:val="00C7292E"/>
    <w:rsid w:val="00C73D3A"/>
    <w:rsid w:val="00C74E88"/>
    <w:rsid w:val="00C760F3"/>
    <w:rsid w:val="00C7756D"/>
    <w:rsid w:val="00C77B09"/>
    <w:rsid w:val="00C77BEB"/>
    <w:rsid w:val="00C77E48"/>
    <w:rsid w:val="00C80924"/>
    <w:rsid w:val="00C81AA4"/>
    <w:rsid w:val="00C8286B"/>
    <w:rsid w:val="00C82D51"/>
    <w:rsid w:val="00C842A2"/>
    <w:rsid w:val="00C84C8F"/>
    <w:rsid w:val="00C86571"/>
    <w:rsid w:val="00C872F6"/>
    <w:rsid w:val="00C87A3B"/>
    <w:rsid w:val="00C9061D"/>
    <w:rsid w:val="00C91C18"/>
    <w:rsid w:val="00C92A9A"/>
    <w:rsid w:val="00C941F5"/>
    <w:rsid w:val="00C942EB"/>
    <w:rsid w:val="00C947F8"/>
    <w:rsid w:val="00C9515F"/>
    <w:rsid w:val="00C95317"/>
    <w:rsid w:val="00C963C5"/>
    <w:rsid w:val="00CA030C"/>
    <w:rsid w:val="00CA1C41"/>
    <w:rsid w:val="00CA1F41"/>
    <w:rsid w:val="00CA2AD5"/>
    <w:rsid w:val="00CA32EE"/>
    <w:rsid w:val="00CA3394"/>
    <w:rsid w:val="00CA3C8F"/>
    <w:rsid w:val="00CA4D8F"/>
    <w:rsid w:val="00CA56DE"/>
    <w:rsid w:val="00CA5771"/>
    <w:rsid w:val="00CA632F"/>
    <w:rsid w:val="00CA6899"/>
    <w:rsid w:val="00CA6A1A"/>
    <w:rsid w:val="00CB011E"/>
    <w:rsid w:val="00CB0AC8"/>
    <w:rsid w:val="00CB1A43"/>
    <w:rsid w:val="00CB2207"/>
    <w:rsid w:val="00CB232F"/>
    <w:rsid w:val="00CB3ED9"/>
    <w:rsid w:val="00CB4329"/>
    <w:rsid w:val="00CB4F9E"/>
    <w:rsid w:val="00CB5E57"/>
    <w:rsid w:val="00CB6878"/>
    <w:rsid w:val="00CB6D43"/>
    <w:rsid w:val="00CB7385"/>
    <w:rsid w:val="00CC0A3A"/>
    <w:rsid w:val="00CC1457"/>
    <w:rsid w:val="00CC1E75"/>
    <w:rsid w:val="00CC249F"/>
    <w:rsid w:val="00CC289F"/>
    <w:rsid w:val="00CC2E0E"/>
    <w:rsid w:val="00CC361C"/>
    <w:rsid w:val="00CC474B"/>
    <w:rsid w:val="00CC5020"/>
    <w:rsid w:val="00CC567C"/>
    <w:rsid w:val="00CC5818"/>
    <w:rsid w:val="00CC658C"/>
    <w:rsid w:val="00CC67BF"/>
    <w:rsid w:val="00CC7577"/>
    <w:rsid w:val="00CC7BC9"/>
    <w:rsid w:val="00CC7D8F"/>
    <w:rsid w:val="00CD0843"/>
    <w:rsid w:val="00CD3C40"/>
    <w:rsid w:val="00CD4B13"/>
    <w:rsid w:val="00CD4E13"/>
    <w:rsid w:val="00CD4E31"/>
    <w:rsid w:val="00CD54B7"/>
    <w:rsid w:val="00CD5A78"/>
    <w:rsid w:val="00CD6102"/>
    <w:rsid w:val="00CD6E41"/>
    <w:rsid w:val="00CD7345"/>
    <w:rsid w:val="00CD743C"/>
    <w:rsid w:val="00CD7B37"/>
    <w:rsid w:val="00CD7EBE"/>
    <w:rsid w:val="00CE19D5"/>
    <w:rsid w:val="00CE2A65"/>
    <w:rsid w:val="00CE34B8"/>
    <w:rsid w:val="00CE34ED"/>
    <w:rsid w:val="00CE372E"/>
    <w:rsid w:val="00CE4051"/>
    <w:rsid w:val="00CE5071"/>
    <w:rsid w:val="00CE543C"/>
    <w:rsid w:val="00CE6EC2"/>
    <w:rsid w:val="00CE7DB1"/>
    <w:rsid w:val="00CF0A11"/>
    <w:rsid w:val="00CF0A1B"/>
    <w:rsid w:val="00CF1190"/>
    <w:rsid w:val="00CF19F6"/>
    <w:rsid w:val="00CF2F4F"/>
    <w:rsid w:val="00CF3721"/>
    <w:rsid w:val="00CF3DF1"/>
    <w:rsid w:val="00CF536D"/>
    <w:rsid w:val="00CF6438"/>
    <w:rsid w:val="00CF707B"/>
    <w:rsid w:val="00CF7123"/>
    <w:rsid w:val="00CF7B0A"/>
    <w:rsid w:val="00CF7B1E"/>
    <w:rsid w:val="00D00D5B"/>
    <w:rsid w:val="00D00EDC"/>
    <w:rsid w:val="00D02E9D"/>
    <w:rsid w:val="00D03F71"/>
    <w:rsid w:val="00D0403E"/>
    <w:rsid w:val="00D049CE"/>
    <w:rsid w:val="00D05011"/>
    <w:rsid w:val="00D05861"/>
    <w:rsid w:val="00D0697B"/>
    <w:rsid w:val="00D10CB8"/>
    <w:rsid w:val="00D12806"/>
    <w:rsid w:val="00D12987"/>
    <w:rsid w:val="00D12D44"/>
    <w:rsid w:val="00D141C7"/>
    <w:rsid w:val="00D14404"/>
    <w:rsid w:val="00D14693"/>
    <w:rsid w:val="00D15018"/>
    <w:rsid w:val="00D158AC"/>
    <w:rsid w:val="00D158BE"/>
    <w:rsid w:val="00D1590F"/>
    <w:rsid w:val="00D1694C"/>
    <w:rsid w:val="00D171C0"/>
    <w:rsid w:val="00D17389"/>
    <w:rsid w:val="00D177E4"/>
    <w:rsid w:val="00D20F5E"/>
    <w:rsid w:val="00D2227B"/>
    <w:rsid w:val="00D22800"/>
    <w:rsid w:val="00D22981"/>
    <w:rsid w:val="00D23686"/>
    <w:rsid w:val="00D23B76"/>
    <w:rsid w:val="00D244F1"/>
    <w:rsid w:val="00D24B4A"/>
    <w:rsid w:val="00D26FD7"/>
    <w:rsid w:val="00D3233A"/>
    <w:rsid w:val="00D326D8"/>
    <w:rsid w:val="00D3273B"/>
    <w:rsid w:val="00D34BB4"/>
    <w:rsid w:val="00D354BD"/>
    <w:rsid w:val="00D35E8F"/>
    <w:rsid w:val="00D36C12"/>
    <w:rsid w:val="00D379A3"/>
    <w:rsid w:val="00D40CB5"/>
    <w:rsid w:val="00D433BF"/>
    <w:rsid w:val="00D43F34"/>
    <w:rsid w:val="00D447FE"/>
    <w:rsid w:val="00D45319"/>
    <w:rsid w:val="00D45FF3"/>
    <w:rsid w:val="00D47A29"/>
    <w:rsid w:val="00D501C2"/>
    <w:rsid w:val="00D511BF"/>
    <w:rsid w:val="00D51213"/>
    <w:rsid w:val="00D512CF"/>
    <w:rsid w:val="00D5189E"/>
    <w:rsid w:val="00D51FDC"/>
    <w:rsid w:val="00D52670"/>
    <w:rsid w:val="00D528B9"/>
    <w:rsid w:val="00D52FA2"/>
    <w:rsid w:val="00D53186"/>
    <w:rsid w:val="00D53229"/>
    <w:rsid w:val="00D5487D"/>
    <w:rsid w:val="00D55120"/>
    <w:rsid w:val="00D56106"/>
    <w:rsid w:val="00D56CF8"/>
    <w:rsid w:val="00D57477"/>
    <w:rsid w:val="00D57974"/>
    <w:rsid w:val="00D6005F"/>
    <w:rsid w:val="00D60140"/>
    <w:rsid w:val="00D6024A"/>
    <w:rsid w:val="00D604A9"/>
    <w:rsid w:val="00D608B5"/>
    <w:rsid w:val="00D61327"/>
    <w:rsid w:val="00D6163A"/>
    <w:rsid w:val="00D64739"/>
    <w:rsid w:val="00D64953"/>
    <w:rsid w:val="00D659F5"/>
    <w:rsid w:val="00D65B93"/>
    <w:rsid w:val="00D70658"/>
    <w:rsid w:val="00D71A89"/>
    <w:rsid w:val="00D71E52"/>
    <w:rsid w:val="00D71F99"/>
    <w:rsid w:val="00D72890"/>
    <w:rsid w:val="00D730F9"/>
    <w:rsid w:val="00D7354A"/>
    <w:rsid w:val="00D73CA4"/>
    <w:rsid w:val="00D73D71"/>
    <w:rsid w:val="00D74396"/>
    <w:rsid w:val="00D74AB5"/>
    <w:rsid w:val="00D74B36"/>
    <w:rsid w:val="00D74D4F"/>
    <w:rsid w:val="00D751CF"/>
    <w:rsid w:val="00D75361"/>
    <w:rsid w:val="00D7594F"/>
    <w:rsid w:val="00D76611"/>
    <w:rsid w:val="00D7713D"/>
    <w:rsid w:val="00D772C9"/>
    <w:rsid w:val="00D80284"/>
    <w:rsid w:val="00D80300"/>
    <w:rsid w:val="00D8034D"/>
    <w:rsid w:val="00D80610"/>
    <w:rsid w:val="00D812EF"/>
    <w:rsid w:val="00D81F71"/>
    <w:rsid w:val="00D82D47"/>
    <w:rsid w:val="00D82E7F"/>
    <w:rsid w:val="00D83586"/>
    <w:rsid w:val="00D83FAF"/>
    <w:rsid w:val="00D861D5"/>
    <w:rsid w:val="00D8642D"/>
    <w:rsid w:val="00D86538"/>
    <w:rsid w:val="00D86573"/>
    <w:rsid w:val="00D870BB"/>
    <w:rsid w:val="00D8722B"/>
    <w:rsid w:val="00D90A5E"/>
    <w:rsid w:val="00D91A68"/>
    <w:rsid w:val="00D91B7F"/>
    <w:rsid w:val="00D920D1"/>
    <w:rsid w:val="00D958F7"/>
    <w:rsid w:val="00D95A68"/>
    <w:rsid w:val="00D95FCC"/>
    <w:rsid w:val="00D97182"/>
    <w:rsid w:val="00DA09E3"/>
    <w:rsid w:val="00DA17C7"/>
    <w:rsid w:val="00DA1999"/>
    <w:rsid w:val="00DA1AD3"/>
    <w:rsid w:val="00DA3974"/>
    <w:rsid w:val="00DA6A9A"/>
    <w:rsid w:val="00DA7744"/>
    <w:rsid w:val="00DB075C"/>
    <w:rsid w:val="00DB09AD"/>
    <w:rsid w:val="00DB1AEB"/>
    <w:rsid w:val="00DB1BDA"/>
    <w:rsid w:val="00DB1EFD"/>
    <w:rsid w:val="00DB21C4"/>
    <w:rsid w:val="00DB3EAF"/>
    <w:rsid w:val="00DB444F"/>
    <w:rsid w:val="00DB46C6"/>
    <w:rsid w:val="00DB4933"/>
    <w:rsid w:val="00DB4AC0"/>
    <w:rsid w:val="00DB753F"/>
    <w:rsid w:val="00DB7A9A"/>
    <w:rsid w:val="00DC0774"/>
    <w:rsid w:val="00DC0D97"/>
    <w:rsid w:val="00DC10DA"/>
    <w:rsid w:val="00DC1E4E"/>
    <w:rsid w:val="00DC3203"/>
    <w:rsid w:val="00DC3C99"/>
    <w:rsid w:val="00DC507E"/>
    <w:rsid w:val="00DC52F5"/>
    <w:rsid w:val="00DC5FD0"/>
    <w:rsid w:val="00DC6066"/>
    <w:rsid w:val="00DC6E5A"/>
    <w:rsid w:val="00DC7B44"/>
    <w:rsid w:val="00DD0354"/>
    <w:rsid w:val="00DD0FD1"/>
    <w:rsid w:val="00DD11AB"/>
    <w:rsid w:val="00DD158A"/>
    <w:rsid w:val="00DD1AA5"/>
    <w:rsid w:val="00DD24A4"/>
    <w:rsid w:val="00DD254A"/>
    <w:rsid w:val="00DD27D7"/>
    <w:rsid w:val="00DD3029"/>
    <w:rsid w:val="00DD3AA5"/>
    <w:rsid w:val="00DD458C"/>
    <w:rsid w:val="00DD48BD"/>
    <w:rsid w:val="00DD512F"/>
    <w:rsid w:val="00DD67E8"/>
    <w:rsid w:val="00DD72E9"/>
    <w:rsid w:val="00DD7605"/>
    <w:rsid w:val="00DD7B5D"/>
    <w:rsid w:val="00DE0430"/>
    <w:rsid w:val="00DE1123"/>
    <w:rsid w:val="00DE1F98"/>
    <w:rsid w:val="00DE2020"/>
    <w:rsid w:val="00DE2390"/>
    <w:rsid w:val="00DE2CBF"/>
    <w:rsid w:val="00DE3476"/>
    <w:rsid w:val="00DE5E96"/>
    <w:rsid w:val="00DE7692"/>
    <w:rsid w:val="00DE7BEA"/>
    <w:rsid w:val="00DF0B22"/>
    <w:rsid w:val="00DF0D9E"/>
    <w:rsid w:val="00DF1ADB"/>
    <w:rsid w:val="00DF1F1D"/>
    <w:rsid w:val="00DF258F"/>
    <w:rsid w:val="00DF3A28"/>
    <w:rsid w:val="00DF3D48"/>
    <w:rsid w:val="00DF5093"/>
    <w:rsid w:val="00DF5B84"/>
    <w:rsid w:val="00DF629B"/>
    <w:rsid w:val="00DF6D43"/>
    <w:rsid w:val="00DF6D5B"/>
    <w:rsid w:val="00DF771B"/>
    <w:rsid w:val="00DF7EE2"/>
    <w:rsid w:val="00E00DA8"/>
    <w:rsid w:val="00E010AC"/>
    <w:rsid w:val="00E01BAA"/>
    <w:rsid w:val="00E0282A"/>
    <w:rsid w:val="00E02A1F"/>
    <w:rsid w:val="00E02F9B"/>
    <w:rsid w:val="00E0325B"/>
    <w:rsid w:val="00E035E2"/>
    <w:rsid w:val="00E03EC7"/>
    <w:rsid w:val="00E06B9E"/>
    <w:rsid w:val="00E07E14"/>
    <w:rsid w:val="00E118AF"/>
    <w:rsid w:val="00E1232A"/>
    <w:rsid w:val="00E1299B"/>
    <w:rsid w:val="00E149C6"/>
    <w:rsid w:val="00E14E31"/>
    <w:rsid w:val="00E14F94"/>
    <w:rsid w:val="00E15E23"/>
    <w:rsid w:val="00E15F0D"/>
    <w:rsid w:val="00E16CF3"/>
    <w:rsid w:val="00E16FC8"/>
    <w:rsid w:val="00E17336"/>
    <w:rsid w:val="00E173A9"/>
    <w:rsid w:val="00E17D15"/>
    <w:rsid w:val="00E20841"/>
    <w:rsid w:val="00E20861"/>
    <w:rsid w:val="00E2088D"/>
    <w:rsid w:val="00E209D3"/>
    <w:rsid w:val="00E21F6B"/>
    <w:rsid w:val="00E228DB"/>
    <w:rsid w:val="00E229A8"/>
    <w:rsid w:val="00E22A75"/>
    <w:rsid w:val="00E22B95"/>
    <w:rsid w:val="00E242C0"/>
    <w:rsid w:val="00E2502F"/>
    <w:rsid w:val="00E25090"/>
    <w:rsid w:val="00E25A32"/>
    <w:rsid w:val="00E261EE"/>
    <w:rsid w:val="00E262FE"/>
    <w:rsid w:val="00E26F12"/>
    <w:rsid w:val="00E27EFB"/>
    <w:rsid w:val="00E30331"/>
    <w:rsid w:val="00E30400"/>
    <w:rsid w:val="00E30837"/>
    <w:rsid w:val="00E30BB8"/>
    <w:rsid w:val="00E31F9C"/>
    <w:rsid w:val="00E32552"/>
    <w:rsid w:val="00E328F6"/>
    <w:rsid w:val="00E32A4C"/>
    <w:rsid w:val="00E32A7A"/>
    <w:rsid w:val="00E3450C"/>
    <w:rsid w:val="00E35076"/>
    <w:rsid w:val="00E3517D"/>
    <w:rsid w:val="00E35A20"/>
    <w:rsid w:val="00E35DA9"/>
    <w:rsid w:val="00E37CB3"/>
    <w:rsid w:val="00E40488"/>
    <w:rsid w:val="00E41C92"/>
    <w:rsid w:val="00E429AE"/>
    <w:rsid w:val="00E445EE"/>
    <w:rsid w:val="00E44839"/>
    <w:rsid w:val="00E467CA"/>
    <w:rsid w:val="00E468C7"/>
    <w:rsid w:val="00E50367"/>
    <w:rsid w:val="00E51242"/>
    <w:rsid w:val="00E5185D"/>
    <w:rsid w:val="00E51ABA"/>
    <w:rsid w:val="00E51C22"/>
    <w:rsid w:val="00E52362"/>
    <w:rsid w:val="00E524CB"/>
    <w:rsid w:val="00E53BC3"/>
    <w:rsid w:val="00E54544"/>
    <w:rsid w:val="00E5460B"/>
    <w:rsid w:val="00E546FB"/>
    <w:rsid w:val="00E54709"/>
    <w:rsid w:val="00E55D2D"/>
    <w:rsid w:val="00E60335"/>
    <w:rsid w:val="00E615DB"/>
    <w:rsid w:val="00E61BAC"/>
    <w:rsid w:val="00E629EA"/>
    <w:rsid w:val="00E62A2C"/>
    <w:rsid w:val="00E631BB"/>
    <w:rsid w:val="00E631FE"/>
    <w:rsid w:val="00E63A09"/>
    <w:rsid w:val="00E63F32"/>
    <w:rsid w:val="00E6424F"/>
    <w:rsid w:val="00E653BA"/>
    <w:rsid w:val="00E65456"/>
    <w:rsid w:val="00E65A91"/>
    <w:rsid w:val="00E65B96"/>
    <w:rsid w:val="00E66188"/>
    <w:rsid w:val="00E66462"/>
    <w:rsid w:val="00E664FB"/>
    <w:rsid w:val="00E672F0"/>
    <w:rsid w:val="00E70363"/>
    <w:rsid w:val="00E70373"/>
    <w:rsid w:val="00E70937"/>
    <w:rsid w:val="00E71260"/>
    <w:rsid w:val="00E7238D"/>
    <w:rsid w:val="00E72D6A"/>
    <w:rsid w:val="00E72E40"/>
    <w:rsid w:val="00E73665"/>
    <w:rsid w:val="00E73999"/>
    <w:rsid w:val="00E73BDC"/>
    <w:rsid w:val="00E73E80"/>
    <w:rsid w:val="00E73E9E"/>
    <w:rsid w:val="00E75C5C"/>
    <w:rsid w:val="00E77E1D"/>
    <w:rsid w:val="00E81660"/>
    <w:rsid w:val="00E831BE"/>
    <w:rsid w:val="00E854FE"/>
    <w:rsid w:val="00E85BE0"/>
    <w:rsid w:val="00E87A13"/>
    <w:rsid w:val="00E87AB3"/>
    <w:rsid w:val="00E906CC"/>
    <w:rsid w:val="00E918CA"/>
    <w:rsid w:val="00E921D8"/>
    <w:rsid w:val="00E922B8"/>
    <w:rsid w:val="00E92BA7"/>
    <w:rsid w:val="00E935B2"/>
    <w:rsid w:val="00E939A0"/>
    <w:rsid w:val="00E93E3F"/>
    <w:rsid w:val="00E93E49"/>
    <w:rsid w:val="00E95D89"/>
    <w:rsid w:val="00E9702B"/>
    <w:rsid w:val="00E97109"/>
    <w:rsid w:val="00E979FA"/>
    <w:rsid w:val="00E97E4E"/>
    <w:rsid w:val="00EA129A"/>
    <w:rsid w:val="00EA12E2"/>
    <w:rsid w:val="00EA1C8D"/>
    <w:rsid w:val="00EA1CC2"/>
    <w:rsid w:val="00EA1F51"/>
    <w:rsid w:val="00EA21AE"/>
    <w:rsid w:val="00EA2957"/>
    <w:rsid w:val="00EA2D76"/>
    <w:rsid w:val="00EA4644"/>
    <w:rsid w:val="00EA5E82"/>
    <w:rsid w:val="00EA758A"/>
    <w:rsid w:val="00EB096F"/>
    <w:rsid w:val="00EB1588"/>
    <w:rsid w:val="00EB199F"/>
    <w:rsid w:val="00EB1AEF"/>
    <w:rsid w:val="00EB1BD7"/>
    <w:rsid w:val="00EB1DAF"/>
    <w:rsid w:val="00EB21A4"/>
    <w:rsid w:val="00EB2776"/>
    <w:rsid w:val="00EB27C4"/>
    <w:rsid w:val="00EB39AE"/>
    <w:rsid w:val="00EB3FEB"/>
    <w:rsid w:val="00EB5387"/>
    <w:rsid w:val="00EB5C10"/>
    <w:rsid w:val="00EB629C"/>
    <w:rsid w:val="00EB64C0"/>
    <w:rsid w:val="00EB687D"/>
    <w:rsid w:val="00EB6B3E"/>
    <w:rsid w:val="00EB6CE3"/>
    <w:rsid w:val="00EB7322"/>
    <w:rsid w:val="00EC064F"/>
    <w:rsid w:val="00EC0FE9"/>
    <w:rsid w:val="00EC198B"/>
    <w:rsid w:val="00EC1A54"/>
    <w:rsid w:val="00EC1EDD"/>
    <w:rsid w:val="00EC2F85"/>
    <w:rsid w:val="00EC426D"/>
    <w:rsid w:val="00EC4BDC"/>
    <w:rsid w:val="00EC571B"/>
    <w:rsid w:val="00EC57D7"/>
    <w:rsid w:val="00EC5D7A"/>
    <w:rsid w:val="00EC6385"/>
    <w:rsid w:val="00ED0357"/>
    <w:rsid w:val="00ED0698"/>
    <w:rsid w:val="00ED1761"/>
    <w:rsid w:val="00ED1DE9"/>
    <w:rsid w:val="00ED23D4"/>
    <w:rsid w:val="00ED2827"/>
    <w:rsid w:val="00ED2DD5"/>
    <w:rsid w:val="00ED5E0B"/>
    <w:rsid w:val="00ED6097"/>
    <w:rsid w:val="00ED6828"/>
    <w:rsid w:val="00ED785B"/>
    <w:rsid w:val="00EE11BC"/>
    <w:rsid w:val="00EE2DA7"/>
    <w:rsid w:val="00EE37B6"/>
    <w:rsid w:val="00EE45B5"/>
    <w:rsid w:val="00EE64C2"/>
    <w:rsid w:val="00EE71D6"/>
    <w:rsid w:val="00EE7797"/>
    <w:rsid w:val="00EF0F45"/>
    <w:rsid w:val="00EF1A7D"/>
    <w:rsid w:val="00EF2A8C"/>
    <w:rsid w:val="00EF2DC2"/>
    <w:rsid w:val="00EF4668"/>
    <w:rsid w:val="00EF4AD2"/>
    <w:rsid w:val="00EF4CEC"/>
    <w:rsid w:val="00EF4E94"/>
    <w:rsid w:val="00EF4FD6"/>
    <w:rsid w:val="00EF5579"/>
    <w:rsid w:val="00EF61CE"/>
    <w:rsid w:val="00EF6A7D"/>
    <w:rsid w:val="00EF7463"/>
    <w:rsid w:val="00EF7971"/>
    <w:rsid w:val="00F002EF"/>
    <w:rsid w:val="00F00B30"/>
    <w:rsid w:val="00F00D7C"/>
    <w:rsid w:val="00F01EE9"/>
    <w:rsid w:val="00F022A1"/>
    <w:rsid w:val="00F026A9"/>
    <w:rsid w:val="00F0290E"/>
    <w:rsid w:val="00F0349D"/>
    <w:rsid w:val="00F04900"/>
    <w:rsid w:val="00F065A4"/>
    <w:rsid w:val="00F066DB"/>
    <w:rsid w:val="00F1254D"/>
    <w:rsid w:val="00F126B9"/>
    <w:rsid w:val="00F12715"/>
    <w:rsid w:val="00F1299E"/>
    <w:rsid w:val="00F1317F"/>
    <w:rsid w:val="00F135AD"/>
    <w:rsid w:val="00F144D5"/>
    <w:rsid w:val="00F146F0"/>
    <w:rsid w:val="00F15039"/>
    <w:rsid w:val="00F15945"/>
    <w:rsid w:val="00F162BC"/>
    <w:rsid w:val="00F20258"/>
    <w:rsid w:val="00F202BC"/>
    <w:rsid w:val="00F20FF3"/>
    <w:rsid w:val="00F210AD"/>
    <w:rsid w:val="00F2190B"/>
    <w:rsid w:val="00F228B5"/>
    <w:rsid w:val="00F2389C"/>
    <w:rsid w:val="00F2443C"/>
    <w:rsid w:val="00F249EC"/>
    <w:rsid w:val="00F2514B"/>
    <w:rsid w:val="00F25C67"/>
    <w:rsid w:val="00F26ED6"/>
    <w:rsid w:val="00F26F99"/>
    <w:rsid w:val="00F30DFF"/>
    <w:rsid w:val="00F30F98"/>
    <w:rsid w:val="00F31659"/>
    <w:rsid w:val="00F323D9"/>
    <w:rsid w:val="00F32B80"/>
    <w:rsid w:val="00F332EC"/>
    <w:rsid w:val="00F34078"/>
    <w:rsid w:val="00F340EB"/>
    <w:rsid w:val="00F34319"/>
    <w:rsid w:val="00F34E14"/>
    <w:rsid w:val="00F35285"/>
    <w:rsid w:val="00F3536B"/>
    <w:rsid w:val="00F37F4C"/>
    <w:rsid w:val="00F415A7"/>
    <w:rsid w:val="00F425EC"/>
    <w:rsid w:val="00F43B9D"/>
    <w:rsid w:val="00F43D49"/>
    <w:rsid w:val="00F44784"/>
    <w:rsid w:val="00F44D5E"/>
    <w:rsid w:val="00F45908"/>
    <w:rsid w:val="00F47487"/>
    <w:rsid w:val="00F47E68"/>
    <w:rsid w:val="00F50411"/>
    <w:rsid w:val="00F52C52"/>
    <w:rsid w:val="00F53A35"/>
    <w:rsid w:val="00F55A3D"/>
    <w:rsid w:val="00F55A46"/>
    <w:rsid w:val="00F55BED"/>
    <w:rsid w:val="00F55D0F"/>
    <w:rsid w:val="00F56884"/>
    <w:rsid w:val="00F5744B"/>
    <w:rsid w:val="00F57825"/>
    <w:rsid w:val="00F61209"/>
    <w:rsid w:val="00F61493"/>
    <w:rsid w:val="00F6259E"/>
    <w:rsid w:val="00F6413C"/>
    <w:rsid w:val="00F64B08"/>
    <w:rsid w:val="00F65DD4"/>
    <w:rsid w:val="00F672B2"/>
    <w:rsid w:val="00F702AF"/>
    <w:rsid w:val="00F7244A"/>
    <w:rsid w:val="00F74FB8"/>
    <w:rsid w:val="00F76E0C"/>
    <w:rsid w:val="00F77114"/>
    <w:rsid w:val="00F7746F"/>
    <w:rsid w:val="00F803CF"/>
    <w:rsid w:val="00F80B10"/>
    <w:rsid w:val="00F80C8A"/>
    <w:rsid w:val="00F81741"/>
    <w:rsid w:val="00F820DF"/>
    <w:rsid w:val="00F82968"/>
    <w:rsid w:val="00F82D08"/>
    <w:rsid w:val="00F835BB"/>
    <w:rsid w:val="00F83973"/>
    <w:rsid w:val="00F8595B"/>
    <w:rsid w:val="00F87FA3"/>
    <w:rsid w:val="00F900DB"/>
    <w:rsid w:val="00F90CF1"/>
    <w:rsid w:val="00F93016"/>
    <w:rsid w:val="00F93D8C"/>
    <w:rsid w:val="00F9431B"/>
    <w:rsid w:val="00F9489A"/>
    <w:rsid w:val="00F94F42"/>
    <w:rsid w:val="00F95969"/>
    <w:rsid w:val="00F967F5"/>
    <w:rsid w:val="00FA0FCB"/>
    <w:rsid w:val="00FA1AA3"/>
    <w:rsid w:val="00FA24BE"/>
    <w:rsid w:val="00FA3102"/>
    <w:rsid w:val="00FA401E"/>
    <w:rsid w:val="00FA4558"/>
    <w:rsid w:val="00FA48D4"/>
    <w:rsid w:val="00FA54FA"/>
    <w:rsid w:val="00FA5D06"/>
    <w:rsid w:val="00FA6A7D"/>
    <w:rsid w:val="00FA6B87"/>
    <w:rsid w:val="00FA6D39"/>
    <w:rsid w:val="00FA7033"/>
    <w:rsid w:val="00FA7ECF"/>
    <w:rsid w:val="00FB227E"/>
    <w:rsid w:val="00FB34E5"/>
    <w:rsid w:val="00FB3D61"/>
    <w:rsid w:val="00FB44CE"/>
    <w:rsid w:val="00FB4848"/>
    <w:rsid w:val="00FB4870"/>
    <w:rsid w:val="00FB5009"/>
    <w:rsid w:val="00FB61C4"/>
    <w:rsid w:val="00FB68CA"/>
    <w:rsid w:val="00FB76AB"/>
    <w:rsid w:val="00FC02FB"/>
    <w:rsid w:val="00FC27A8"/>
    <w:rsid w:val="00FC2F84"/>
    <w:rsid w:val="00FC3138"/>
    <w:rsid w:val="00FC3C0A"/>
    <w:rsid w:val="00FC43BC"/>
    <w:rsid w:val="00FC64D8"/>
    <w:rsid w:val="00FC701E"/>
    <w:rsid w:val="00FD03FE"/>
    <w:rsid w:val="00FD126E"/>
    <w:rsid w:val="00FD34B1"/>
    <w:rsid w:val="00FD3C36"/>
    <w:rsid w:val="00FD4D81"/>
    <w:rsid w:val="00FD5D48"/>
    <w:rsid w:val="00FD619E"/>
    <w:rsid w:val="00FD70CC"/>
    <w:rsid w:val="00FD7498"/>
    <w:rsid w:val="00FD765E"/>
    <w:rsid w:val="00FD7FB3"/>
    <w:rsid w:val="00FE24DA"/>
    <w:rsid w:val="00FE2CD3"/>
    <w:rsid w:val="00FE3868"/>
    <w:rsid w:val="00FE4556"/>
    <w:rsid w:val="00FE4713"/>
    <w:rsid w:val="00FE4CBF"/>
    <w:rsid w:val="00FE5F1A"/>
    <w:rsid w:val="00FE62E9"/>
    <w:rsid w:val="00FE755C"/>
    <w:rsid w:val="00FF001C"/>
    <w:rsid w:val="00FF017C"/>
    <w:rsid w:val="00FF059A"/>
    <w:rsid w:val="00FF0815"/>
    <w:rsid w:val="00FF0B35"/>
    <w:rsid w:val="00FF1F44"/>
    <w:rsid w:val="00FF225E"/>
    <w:rsid w:val="00FF237F"/>
    <w:rsid w:val="00FF326A"/>
    <w:rsid w:val="00FF36D8"/>
    <w:rsid w:val="00FF4059"/>
    <w:rsid w:val="00FF4295"/>
    <w:rsid w:val="00FF4DF5"/>
    <w:rsid w:val="00FF5B26"/>
    <w:rsid w:val="00FF61AF"/>
    <w:rsid w:val="00FF61EE"/>
    <w:rsid w:val="00FF6272"/>
    <w:rsid w:val="00FF672C"/>
    <w:rsid w:val="00FF6A21"/>
    <w:rsid w:val="00FF6CE8"/>
    <w:rsid w:val="00FF6FE6"/>
    <w:rsid w:val="00FF748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182438"/>
  <w15:docId w15:val="{7F9851F7-F1DF-45A1-9DFE-84EF1BBA3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076A"/>
    <w:pPr>
      <w:spacing w:line="360" w:lineRule="auto"/>
    </w:pPr>
    <w:rPr>
      <w:rFonts w:ascii="Cambria" w:hAnsi="Cambria"/>
      <w:sz w:val="24"/>
      <w:szCs w:val="24"/>
    </w:rPr>
  </w:style>
  <w:style w:type="paragraph" w:styleId="Heading1">
    <w:name w:val="heading 1"/>
    <w:basedOn w:val="Normal"/>
    <w:next w:val="Paragraph"/>
    <w:link w:val="Heading1Char"/>
    <w:qFormat/>
    <w:rsid w:val="00DF258F"/>
    <w:pPr>
      <w:keepNext/>
      <w:numPr>
        <w:numId w:val="37"/>
      </w:numPr>
      <w:spacing w:before="360" w:after="60"/>
      <w:ind w:right="567"/>
      <w:contextualSpacing/>
      <w:outlineLvl w:val="0"/>
    </w:pPr>
    <w:rPr>
      <w:rFonts w:cs="Arial"/>
      <w:b/>
      <w:bCs/>
      <w:kern w:val="32"/>
      <w:szCs w:val="32"/>
    </w:rPr>
  </w:style>
  <w:style w:type="paragraph" w:styleId="Heading2">
    <w:name w:val="heading 2"/>
    <w:basedOn w:val="Heading1"/>
    <w:next w:val="Paragraph"/>
    <w:link w:val="Heading2Char"/>
    <w:qFormat/>
    <w:rsid w:val="0029717E"/>
    <w:pPr>
      <w:numPr>
        <w:ilvl w:val="1"/>
      </w:numPr>
      <w:spacing w:before="240"/>
      <w:ind w:left="470"/>
      <w:outlineLvl w:val="1"/>
    </w:pPr>
    <w:rPr>
      <w:b w:val="0"/>
      <w:bCs w:val="0"/>
      <w:i/>
      <w:iCs/>
      <w:szCs w:val="28"/>
    </w:rPr>
  </w:style>
  <w:style w:type="paragraph" w:styleId="Heading3">
    <w:name w:val="heading 3"/>
    <w:basedOn w:val="Normal"/>
    <w:next w:val="Paragraph"/>
    <w:link w:val="Heading3Char"/>
    <w:qFormat/>
    <w:rsid w:val="00652F0D"/>
    <w:pPr>
      <w:keepNext/>
      <w:numPr>
        <w:ilvl w:val="2"/>
        <w:numId w:val="37"/>
      </w:numPr>
      <w:spacing w:before="360" w:after="60"/>
      <w:ind w:left="641" w:right="567"/>
      <w:contextualSpacing/>
      <w:outlineLvl w:val="2"/>
    </w:pPr>
    <w:rPr>
      <w:rFonts w:cs="Arial"/>
      <w:bCs/>
      <w:i/>
      <w:szCs w:val="26"/>
    </w:rPr>
  </w:style>
  <w:style w:type="paragraph" w:styleId="Heading4">
    <w:name w:val="heading 4"/>
    <w:basedOn w:val="Paragraph"/>
    <w:next w:val="Newparagraph"/>
    <w:link w:val="Heading4Char"/>
    <w:rsid w:val="00F43B9D"/>
    <w:pPr>
      <w:numPr>
        <w:ilvl w:val="3"/>
        <w:numId w:val="37"/>
      </w:num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rsid w:val="00DF258F"/>
    <w:pPr>
      <w:spacing w:after="120"/>
    </w:pPr>
    <w:rPr>
      <w:b/>
      <w:sz w:val="28"/>
    </w:rPr>
  </w:style>
  <w:style w:type="paragraph" w:customStyle="1" w:styleId="Authornames">
    <w:name w:val="Author names"/>
    <w:basedOn w:val="Normal"/>
    <w:next w:val="Normal"/>
    <w:rsid w:val="00F04900"/>
    <w:pPr>
      <w:spacing w:before="240"/>
    </w:pPr>
    <w:rPr>
      <w:sz w:val="28"/>
    </w:rPr>
  </w:style>
  <w:style w:type="paragraph" w:customStyle="1" w:styleId="Affiliation">
    <w:name w:val="Affiliation"/>
    <w:basedOn w:val="Normal"/>
    <w:uiPriority w:val="99"/>
    <w:qFormat/>
    <w:rsid w:val="00F04900"/>
    <w:pPr>
      <w:spacing w:before="240"/>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ind w:left="720" w:right="567"/>
    </w:pPr>
    <w:rPr>
      <w:sz w:val="22"/>
    </w:rPr>
  </w:style>
  <w:style w:type="paragraph" w:customStyle="1" w:styleId="Keywords">
    <w:name w:val="Keywords"/>
    <w:basedOn w:val="Normal"/>
    <w:next w:val="Paragraph"/>
    <w:rsid w:val="00BB1270"/>
    <w:pPr>
      <w:spacing w:before="240" w:after="240"/>
      <w:ind w:left="720" w:right="567"/>
    </w:pPr>
    <w:rPr>
      <w:sz w:val="22"/>
    </w:rPr>
  </w:style>
  <w:style w:type="paragraph" w:customStyle="1" w:styleId="Correspondencedetails">
    <w:name w:val="Correspondence details"/>
    <w:basedOn w:val="Normal"/>
    <w:rsid w:val="00F04900"/>
    <w:pPr>
      <w:spacing w:before="240"/>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rsid w:val="00D379A3"/>
    <w:pPr>
      <w:spacing w:before="120"/>
    </w:pPr>
    <w:rPr>
      <w:sz w:val="22"/>
    </w:rPr>
  </w:style>
  <w:style w:type="paragraph" w:customStyle="1" w:styleId="Tabletitle">
    <w:name w:val="Table title"/>
    <w:basedOn w:val="Normal"/>
    <w:next w:val="Normal"/>
    <w:qFormat/>
    <w:rsid w:val="0031686C"/>
    <w:pPr>
      <w:spacing w:before="240"/>
    </w:pPr>
  </w:style>
  <w:style w:type="paragraph" w:customStyle="1" w:styleId="Figurecaption">
    <w:name w:val="Figure caption"/>
    <w:basedOn w:val="Normal"/>
    <w:next w:val="Normal"/>
    <w:qFormat/>
    <w:rsid w:val="0031686C"/>
    <w:pPr>
      <w:spacing w:before="240"/>
    </w:pPr>
  </w:style>
  <w:style w:type="paragraph" w:customStyle="1" w:styleId="Footnotes">
    <w:name w:val="Footnotes"/>
    <w:basedOn w:val="Normal"/>
    <w:qFormat/>
    <w:rsid w:val="006C6936"/>
    <w:pPr>
      <w:spacing w:before="120"/>
      <w:ind w:left="482" w:hanging="482"/>
      <w:contextualSpacing/>
    </w:pPr>
    <w:rPr>
      <w:sz w:val="22"/>
    </w:rPr>
  </w:style>
  <w:style w:type="paragraph" w:customStyle="1" w:styleId="Notesoncontributors">
    <w:name w:val="Notes on contributors"/>
    <w:basedOn w:val="Normal"/>
    <w:qFormat/>
    <w:rsid w:val="00F04900"/>
    <w:pPr>
      <w:spacing w:before="240"/>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29717E"/>
    <w:rPr>
      <w:rFonts w:ascii="Cambria" w:hAnsi="Cambria" w:cs="Arial"/>
      <w:i/>
      <w:iCs/>
      <w:kern w:val="32"/>
      <w:sz w:val="24"/>
      <w:szCs w:val="28"/>
    </w:rPr>
  </w:style>
  <w:style w:type="character" w:customStyle="1" w:styleId="Heading1Char">
    <w:name w:val="Heading 1 Char"/>
    <w:basedOn w:val="DefaultParagraphFont"/>
    <w:link w:val="Heading1"/>
    <w:rsid w:val="00DF258F"/>
    <w:rPr>
      <w:rFonts w:ascii="Cambria" w:hAnsi="Cambria" w:cs="Arial"/>
      <w:b/>
      <w:bCs/>
      <w:kern w:val="32"/>
      <w:sz w:val="24"/>
      <w:szCs w:val="32"/>
    </w:rPr>
  </w:style>
  <w:style w:type="character" w:customStyle="1" w:styleId="Heading3Char">
    <w:name w:val="Heading 3 Char"/>
    <w:basedOn w:val="DefaultParagraphFont"/>
    <w:link w:val="Heading3"/>
    <w:rsid w:val="00652F0D"/>
    <w:rPr>
      <w:rFonts w:ascii="Cambria" w:hAnsi="Cambria" w:cs="Arial"/>
      <w:bCs/>
      <w:i/>
      <w:sz w:val="24"/>
      <w:szCs w:val="26"/>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2365C7"/>
    <w:pPr>
      <w:ind w:left="284" w:hanging="284"/>
    </w:pPr>
    <w:rPr>
      <w:sz w:val="22"/>
      <w:szCs w:val="20"/>
    </w:rPr>
  </w:style>
  <w:style w:type="character" w:customStyle="1" w:styleId="FootnoteTextChar">
    <w:name w:val="Footnote Text Char"/>
    <w:basedOn w:val="DefaultParagraphFont"/>
    <w:link w:val="FootnoteText"/>
    <w:rsid w:val="002365C7"/>
    <w:rPr>
      <w:rFonts w:ascii="Cambria" w:hAnsi="Cambria"/>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CommentReference">
    <w:name w:val="annotation reference"/>
    <w:basedOn w:val="DefaultParagraphFont"/>
    <w:semiHidden/>
    <w:unhideWhenUsed/>
    <w:rsid w:val="00DE5E96"/>
    <w:rPr>
      <w:sz w:val="16"/>
      <w:szCs w:val="16"/>
    </w:rPr>
  </w:style>
  <w:style w:type="paragraph" w:styleId="CommentText">
    <w:name w:val="annotation text"/>
    <w:basedOn w:val="Normal"/>
    <w:link w:val="CommentTextChar"/>
    <w:unhideWhenUsed/>
    <w:rsid w:val="00DE5E96"/>
    <w:pPr>
      <w:spacing w:line="240" w:lineRule="auto"/>
    </w:pPr>
    <w:rPr>
      <w:sz w:val="20"/>
      <w:szCs w:val="20"/>
    </w:rPr>
  </w:style>
  <w:style w:type="character" w:customStyle="1" w:styleId="CommentTextChar">
    <w:name w:val="Comment Text Char"/>
    <w:basedOn w:val="DefaultParagraphFont"/>
    <w:link w:val="CommentText"/>
    <w:rsid w:val="00DE5E96"/>
  </w:style>
  <w:style w:type="paragraph" w:styleId="CommentSubject">
    <w:name w:val="annotation subject"/>
    <w:basedOn w:val="CommentText"/>
    <w:next w:val="CommentText"/>
    <w:link w:val="CommentSubjectChar"/>
    <w:semiHidden/>
    <w:unhideWhenUsed/>
    <w:rsid w:val="00DE5E96"/>
    <w:rPr>
      <w:b/>
      <w:bCs/>
    </w:rPr>
  </w:style>
  <w:style w:type="character" w:customStyle="1" w:styleId="CommentSubjectChar">
    <w:name w:val="Comment Subject Char"/>
    <w:basedOn w:val="CommentTextChar"/>
    <w:link w:val="CommentSubject"/>
    <w:semiHidden/>
    <w:rsid w:val="00DE5E96"/>
    <w:rPr>
      <w:b/>
      <w:bCs/>
    </w:rPr>
  </w:style>
  <w:style w:type="paragraph" w:styleId="BalloonText">
    <w:name w:val="Balloon Text"/>
    <w:basedOn w:val="Normal"/>
    <w:link w:val="BalloonTextChar"/>
    <w:semiHidden/>
    <w:unhideWhenUsed/>
    <w:rsid w:val="00DE5E9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DE5E96"/>
    <w:rPr>
      <w:rFonts w:ascii="Segoe UI" w:hAnsi="Segoe UI" w:cs="Segoe UI"/>
      <w:sz w:val="18"/>
      <w:szCs w:val="18"/>
    </w:rPr>
  </w:style>
  <w:style w:type="character" w:styleId="Hyperlink">
    <w:name w:val="Hyperlink"/>
    <w:basedOn w:val="DefaultParagraphFont"/>
    <w:uiPriority w:val="99"/>
    <w:unhideWhenUsed/>
    <w:rsid w:val="00DE5E96"/>
    <w:rPr>
      <w:color w:val="0000FF" w:themeColor="hyperlink"/>
      <w:u w:val="single"/>
    </w:rPr>
  </w:style>
  <w:style w:type="paragraph" w:styleId="ListParagraph">
    <w:name w:val="List Paragraph"/>
    <w:basedOn w:val="Normal"/>
    <w:rsid w:val="00DE5E96"/>
    <w:pPr>
      <w:ind w:left="720"/>
      <w:contextualSpacing/>
    </w:pPr>
  </w:style>
  <w:style w:type="character" w:styleId="PlaceholderText">
    <w:name w:val="Placeholder Text"/>
    <w:basedOn w:val="DefaultParagraphFont"/>
    <w:rsid w:val="000C2107"/>
    <w:rPr>
      <w:color w:val="808080"/>
    </w:rPr>
  </w:style>
  <w:style w:type="character" w:styleId="Strong">
    <w:name w:val="Strong"/>
    <w:basedOn w:val="DefaultParagraphFont"/>
    <w:uiPriority w:val="22"/>
    <w:qFormat/>
    <w:rsid w:val="002E14DD"/>
    <w:rPr>
      <w:b/>
      <w:bCs/>
    </w:rPr>
  </w:style>
  <w:style w:type="paragraph" w:styleId="NormalWeb">
    <w:name w:val="Normal (Web)"/>
    <w:basedOn w:val="Normal"/>
    <w:uiPriority w:val="99"/>
    <w:unhideWhenUsed/>
    <w:rsid w:val="002E14DD"/>
    <w:pPr>
      <w:spacing w:before="100" w:beforeAutospacing="1" w:after="100" w:afterAutospacing="1" w:line="240" w:lineRule="auto"/>
    </w:pPr>
    <w:rPr>
      <w:lang w:val="en-CA" w:eastAsia="en-CA"/>
    </w:rPr>
  </w:style>
  <w:style w:type="paragraph" w:styleId="Caption">
    <w:name w:val="caption"/>
    <w:basedOn w:val="Normal"/>
    <w:next w:val="Normal"/>
    <w:unhideWhenUsed/>
    <w:rsid w:val="00D171C0"/>
    <w:pPr>
      <w:spacing w:after="200" w:line="240" w:lineRule="auto"/>
    </w:pPr>
    <w:rPr>
      <w:i/>
      <w:iCs/>
      <w:color w:val="1F497D" w:themeColor="text2"/>
      <w:sz w:val="18"/>
      <w:szCs w:val="18"/>
    </w:rPr>
  </w:style>
  <w:style w:type="table" w:styleId="TableGrid">
    <w:name w:val="Table Grid"/>
    <w:basedOn w:val="TableNormal"/>
    <w:rsid w:val="00D171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ytemptext">
    <w:name w:val="Any temp text"/>
    <w:basedOn w:val="Paragraph"/>
    <w:qFormat/>
    <w:rsid w:val="00A76F33"/>
    <w:pPr>
      <w:spacing w:before="120"/>
    </w:pPr>
    <w:rPr>
      <w:rFonts w:ascii="Segoe UI" w:hAnsi="Segoe UI"/>
      <w:color w:val="D65700"/>
      <w:sz w:val="22"/>
    </w:rPr>
  </w:style>
  <w:style w:type="paragraph" w:styleId="TOCHeading">
    <w:name w:val="TOC Heading"/>
    <w:basedOn w:val="Heading1"/>
    <w:next w:val="Normal"/>
    <w:uiPriority w:val="39"/>
    <w:unhideWhenUsed/>
    <w:qFormat/>
    <w:rsid w:val="00764608"/>
    <w:pPr>
      <w:keepLines/>
      <w:spacing w:before="240" w:after="0" w:line="259" w:lineRule="auto"/>
      <w:ind w:right="0"/>
      <w:contextualSpacing w:val="0"/>
      <w:outlineLvl w:val="9"/>
    </w:pPr>
    <w:rPr>
      <w:rFonts w:asciiTheme="majorHAnsi" w:eastAsiaTheme="majorEastAsia" w:hAnsiTheme="majorHAnsi" w:cstheme="majorBidi"/>
      <w:b w:val="0"/>
      <w:bCs w:val="0"/>
      <w:color w:val="365F91" w:themeColor="accent1" w:themeShade="BF"/>
      <w:kern w:val="0"/>
      <w:sz w:val="32"/>
      <w:lang w:val="en-US" w:eastAsia="en-US"/>
    </w:rPr>
  </w:style>
  <w:style w:type="paragraph" w:styleId="TOC1">
    <w:name w:val="toc 1"/>
    <w:basedOn w:val="Normal"/>
    <w:next w:val="Normal"/>
    <w:autoRedefine/>
    <w:uiPriority w:val="39"/>
    <w:unhideWhenUsed/>
    <w:rsid w:val="00764608"/>
    <w:pPr>
      <w:spacing w:after="100"/>
    </w:pPr>
  </w:style>
  <w:style w:type="paragraph" w:styleId="TOC2">
    <w:name w:val="toc 2"/>
    <w:basedOn w:val="Normal"/>
    <w:next w:val="Normal"/>
    <w:autoRedefine/>
    <w:uiPriority w:val="39"/>
    <w:unhideWhenUsed/>
    <w:rsid w:val="00CE6EC2"/>
    <w:pPr>
      <w:tabs>
        <w:tab w:val="right" w:leader="dot" w:pos="8489"/>
      </w:tabs>
      <w:spacing w:after="100" w:line="240" w:lineRule="auto"/>
      <w:ind w:left="240"/>
    </w:pPr>
  </w:style>
  <w:style w:type="character" w:styleId="LineNumber">
    <w:name w:val="line number"/>
    <w:basedOn w:val="DefaultParagraphFont"/>
    <w:semiHidden/>
    <w:unhideWhenUsed/>
    <w:rsid w:val="00764608"/>
    <w:rPr>
      <w:rFonts w:ascii="Courier New" w:hAnsi="Courier New"/>
      <w:sz w:val="16"/>
    </w:rPr>
  </w:style>
  <w:style w:type="character" w:styleId="FollowedHyperlink">
    <w:name w:val="FollowedHyperlink"/>
    <w:basedOn w:val="DefaultParagraphFont"/>
    <w:semiHidden/>
    <w:unhideWhenUsed/>
    <w:rsid w:val="00DF0B22"/>
    <w:rPr>
      <w:color w:val="800080" w:themeColor="followedHyperlink"/>
      <w:u w:val="single"/>
    </w:rPr>
  </w:style>
  <w:style w:type="character" w:customStyle="1" w:styleId="bibliographic-informationvalue">
    <w:name w:val="bibliographic-information__value"/>
    <w:basedOn w:val="DefaultParagraphFont"/>
    <w:rsid w:val="00A27737"/>
  </w:style>
  <w:style w:type="paragraph" w:styleId="Revision">
    <w:name w:val="Revision"/>
    <w:hidden/>
    <w:semiHidden/>
    <w:rsid w:val="00987366"/>
    <w:rPr>
      <w:rFonts w:ascii="Cambria" w:hAnsi="Cambria"/>
      <w:sz w:val="24"/>
      <w:szCs w:val="24"/>
    </w:rPr>
  </w:style>
  <w:style w:type="paragraph" w:styleId="BodyText">
    <w:name w:val="Body Text"/>
    <w:basedOn w:val="Normal"/>
    <w:link w:val="BodyTextChar"/>
    <w:uiPriority w:val="1"/>
    <w:qFormat/>
    <w:rsid w:val="006465B5"/>
    <w:pPr>
      <w:widowControl w:val="0"/>
      <w:autoSpaceDE w:val="0"/>
      <w:autoSpaceDN w:val="0"/>
      <w:spacing w:line="240" w:lineRule="auto"/>
      <w:ind w:left="308"/>
    </w:pPr>
    <w:rPr>
      <w:rFonts w:ascii="Times New Roman" w:hAnsi="Times New Roman"/>
      <w:sz w:val="18"/>
      <w:szCs w:val="18"/>
      <w:lang w:val="en-US" w:eastAsia="en-US"/>
    </w:rPr>
  </w:style>
  <w:style w:type="character" w:customStyle="1" w:styleId="BodyTextChar">
    <w:name w:val="Body Text Char"/>
    <w:basedOn w:val="DefaultParagraphFont"/>
    <w:link w:val="BodyText"/>
    <w:uiPriority w:val="1"/>
    <w:rsid w:val="006465B5"/>
    <w:rPr>
      <w:sz w:val="18"/>
      <w:szCs w:val="18"/>
      <w:lang w:val="en-US" w:eastAsia="en-US"/>
    </w:rPr>
  </w:style>
  <w:style w:type="paragraph" w:styleId="TableofFigures">
    <w:name w:val="table of figures"/>
    <w:basedOn w:val="Normal"/>
    <w:next w:val="Normal"/>
    <w:uiPriority w:val="99"/>
    <w:unhideWhenUsed/>
    <w:rsid w:val="00A76F33"/>
  </w:style>
  <w:style w:type="table" w:styleId="PlainTable2">
    <w:name w:val="Plain Table 2"/>
    <w:basedOn w:val="TableNormal"/>
    <w:uiPriority w:val="42"/>
    <w:rsid w:val="009473B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ListTable1Light">
    <w:name w:val="List Table 1 Light"/>
    <w:basedOn w:val="TableNormal"/>
    <w:uiPriority w:val="46"/>
    <w:rsid w:val="009473BC"/>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IHeading1">
    <w:name w:val="SI Heading 1"/>
    <w:basedOn w:val="Heading1"/>
    <w:qFormat/>
    <w:rsid w:val="002F2AE6"/>
    <w:pPr>
      <w:numPr>
        <w:numId w:val="47"/>
      </w:numPr>
      <w:jc w:val="center"/>
    </w:pPr>
    <w:rPr>
      <w:sz w:val="32"/>
    </w:rPr>
  </w:style>
  <w:style w:type="paragraph" w:customStyle="1" w:styleId="SIHeading2">
    <w:name w:val="SI Heading 2"/>
    <w:basedOn w:val="SIHeading1"/>
    <w:next w:val="Normal"/>
    <w:qFormat/>
    <w:rsid w:val="002F2AE6"/>
    <w:pPr>
      <w:numPr>
        <w:ilvl w:val="1"/>
      </w:numPr>
      <w:jc w:val="left"/>
    </w:pPr>
    <w:rPr>
      <w:sz w:val="24"/>
    </w:rPr>
  </w:style>
  <w:style w:type="paragraph" w:styleId="HTMLPreformatted">
    <w:name w:val="HTML Preformatted"/>
    <w:basedOn w:val="Normal"/>
    <w:link w:val="HTMLPreformattedChar"/>
    <w:uiPriority w:val="99"/>
    <w:semiHidden/>
    <w:unhideWhenUsed/>
    <w:rsid w:val="00ED7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CA" w:eastAsia="en-CA"/>
    </w:rPr>
  </w:style>
  <w:style w:type="character" w:customStyle="1" w:styleId="HTMLPreformattedChar">
    <w:name w:val="HTML Preformatted Char"/>
    <w:basedOn w:val="DefaultParagraphFont"/>
    <w:link w:val="HTMLPreformatted"/>
    <w:uiPriority w:val="99"/>
    <w:semiHidden/>
    <w:rsid w:val="00ED785B"/>
    <w:rPr>
      <w:rFonts w:ascii="Courier New" w:eastAsia="Times New Roman" w:hAnsi="Courier New" w:cs="Courier New"/>
      <w:lang w:val="en-CA" w:eastAsia="en-CA"/>
    </w:rPr>
  </w:style>
  <w:style w:type="character" w:customStyle="1" w:styleId="UnresolvedMention1">
    <w:name w:val="Unresolved Mention1"/>
    <w:basedOn w:val="DefaultParagraphFont"/>
    <w:uiPriority w:val="99"/>
    <w:semiHidden/>
    <w:unhideWhenUsed/>
    <w:rsid w:val="00073E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404727">
      <w:bodyDiv w:val="1"/>
      <w:marLeft w:val="0"/>
      <w:marRight w:val="0"/>
      <w:marTop w:val="0"/>
      <w:marBottom w:val="0"/>
      <w:divBdr>
        <w:top w:val="none" w:sz="0" w:space="0" w:color="auto"/>
        <w:left w:val="none" w:sz="0" w:space="0" w:color="auto"/>
        <w:bottom w:val="none" w:sz="0" w:space="0" w:color="auto"/>
        <w:right w:val="none" w:sz="0" w:space="0" w:color="auto"/>
      </w:divBdr>
    </w:div>
    <w:div w:id="196313082">
      <w:bodyDiv w:val="1"/>
      <w:marLeft w:val="0"/>
      <w:marRight w:val="0"/>
      <w:marTop w:val="0"/>
      <w:marBottom w:val="0"/>
      <w:divBdr>
        <w:top w:val="none" w:sz="0" w:space="0" w:color="auto"/>
        <w:left w:val="none" w:sz="0" w:space="0" w:color="auto"/>
        <w:bottom w:val="none" w:sz="0" w:space="0" w:color="auto"/>
        <w:right w:val="none" w:sz="0" w:space="0" w:color="auto"/>
      </w:divBdr>
    </w:div>
    <w:div w:id="584995280">
      <w:bodyDiv w:val="1"/>
      <w:marLeft w:val="0"/>
      <w:marRight w:val="0"/>
      <w:marTop w:val="0"/>
      <w:marBottom w:val="0"/>
      <w:divBdr>
        <w:top w:val="none" w:sz="0" w:space="0" w:color="auto"/>
        <w:left w:val="none" w:sz="0" w:space="0" w:color="auto"/>
        <w:bottom w:val="none" w:sz="0" w:space="0" w:color="auto"/>
        <w:right w:val="none" w:sz="0" w:space="0" w:color="auto"/>
      </w:divBdr>
    </w:div>
    <w:div w:id="695889460">
      <w:bodyDiv w:val="1"/>
      <w:marLeft w:val="0"/>
      <w:marRight w:val="0"/>
      <w:marTop w:val="0"/>
      <w:marBottom w:val="0"/>
      <w:divBdr>
        <w:top w:val="none" w:sz="0" w:space="0" w:color="auto"/>
        <w:left w:val="none" w:sz="0" w:space="0" w:color="auto"/>
        <w:bottom w:val="none" w:sz="0" w:space="0" w:color="auto"/>
        <w:right w:val="none" w:sz="0" w:space="0" w:color="auto"/>
      </w:divBdr>
    </w:div>
    <w:div w:id="771165675">
      <w:bodyDiv w:val="1"/>
      <w:marLeft w:val="0"/>
      <w:marRight w:val="0"/>
      <w:marTop w:val="0"/>
      <w:marBottom w:val="0"/>
      <w:divBdr>
        <w:top w:val="none" w:sz="0" w:space="0" w:color="auto"/>
        <w:left w:val="none" w:sz="0" w:space="0" w:color="auto"/>
        <w:bottom w:val="none" w:sz="0" w:space="0" w:color="auto"/>
        <w:right w:val="none" w:sz="0" w:space="0" w:color="auto"/>
      </w:divBdr>
    </w:div>
    <w:div w:id="822312618">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018388568">
      <w:bodyDiv w:val="1"/>
      <w:marLeft w:val="0"/>
      <w:marRight w:val="0"/>
      <w:marTop w:val="0"/>
      <w:marBottom w:val="0"/>
      <w:divBdr>
        <w:top w:val="none" w:sz="0" w:space="0" w:color="auto"/>
        <w:left w:val="none" w:sz="0" w:space="0" w:color="auto"/>
        <w:bottom w:val="none" w:sz="0" w:space="0" w:color="auto"/>
        <w:right w:val="none" w:sz="0" w:space="0" w:color="auto"/>
      </w:divBdr>
    </w:div>
    <w:div w:id="1068114098">
      <w:bodyDiv w:val="1"/>
      <w:marLeft w:val="0"/>
      <w:marRight w:val="0"/>
      <w:marTop w:val="0"/>
      <w:marBottom w:val="0"/>
      <w:divBdr>
        <w:top w:val="none" w:sz="0" w:space="0" w:color="auto"/>
        <w:left w:val="none" w:sz="0" w:space="0" w:color="auto"/>
        <w:bottom w:val="none" w:sz="0" w:space="0" w:color="auto"/>
        <w:right w:val="none" w:sz="0" w:space="0" w:color="auto"/>
      </w:divBdr>
    </w:div>
    <w:div w:id="1160195000">
      <w:bodyDiv w:val="1"/>
      <w:marLeft w:val="0"/>
      <w:marRight w:val="0"/>
      <w:marTop w:val="0"/>
      <w:marBottom w:val="0"/>
      <w:divBdr>
        <w:top w:val="none" w:sz="0" w:space="0" w:color="auto"/>
        <w:left w:val="none" w:sz="0" w:space="0" w:color="auto"/>
        <w:bottom w:val="none" w:sz="0" w:space="0" w:color="auto"/>
        <w:right w:val="none" w:sz="0" w:space="0" w:color="auto"/>
      </w:divBdr>
    </w:div>
    <w:div w:id="1172257423">
      <w:bodyDiv w:val="1"/>
      <w:marLeft w:val="0"/>
      <w:marRight w:val="0"/>
      <w:marTop w:val="0"/>
      <w:marBottom w:val="0"/>
      <w:divBdr>
        <w:top w:val="none" w:sz="0" w:space="0" w:color="auto"/>
        <w:left w:val="none" w:sz="0" w:space="0" w:color="auto"/>
        <w:bottom w:val="none" w:sz="0" w:space="0" w:color="auto"/>
        <w:right w:val="none" w:sz="0" w:space="0" w:color="auto"/>
      </w:divBdr>
    </w:div>
    <w:div w:id="1646619284">
      <w:bodyDiv w:val="1"/>
      <w:marLeft w:val="0"/>
      <w:marRight w:val="0"/>
      <w:marTop w:val="0"/>
      <w:marBottom w:val="0"/>
      <w:divBdr>
        <w:top w:val="none" w:sz="0" w:space="0" w:color="auto"/>
        <w:left w:val="none" w:sz="0" w:space="0" w:color="auto"/>
        <w:bottom w:val="none" w:sz="0" w:space="0" w:color="auto"/>
        <w:right w:val="none" w:sz="0" w:space="0" w:color="auto"/>
      </w:divBdr>
    </w:div>
    <w:div w:id="1655911113">
      <w:bodyDiv w:val="1"/>
      <w:marLeft w:val="0"/>
      <w:marRight w:val="0"/>
      <w:marTop w:val="0"/>
      <w:marBottom w:val="0"/>
      <w:divBdr>
        <w:top w:val="none" w:sz="0" w:space="0" w:color="auto"/>
        <w:left w:val="none" w:sz="0" w:space="0" w:color="auto"/>
        <w:bottom w:val="none" w:sz="0" w:space="0" w:color="auto"/>
        <w:right w:val="none" w:sz="0" w:space="0" w:color="auto"/>
      </w:divBdr>
    </w:div>
    <w:div w:id="1805268980">
      <w:bodyDiv w:val="1"/>
      <w:marLeft w:val="0"/>
      <w:marRight w:val="0"/>
      <w:marTop w:val="0"/>
      <w:marBottom w:val="0"/>
      <w:divBdr>
        <w:top w:val="none" w:sz="0" w:space="0" w:color="auto"/>
        <w:left w:val="none" w:sz="0" w:space="0" w:color="auto"/>
        <w:bottom w:val="none" w:sz="0" w:space="0" w:color="auto"/>
        <w:right w:val="none" w:sz="0" w:space="0" w:color="auto"/>
      </w:divBdr>
    </w:div>
    <w:div w:id="2029866443">
      <w:bodyDiv w:val="1"/>
      <w:marLeft w:val="0"/>
      <w:marRight w:val="0"/>
      <w:marTop w:val="0"/>
      <w:marBottom w:val="0"/>
      <w:divBdr>
        <w:top w:val="none" w:sz="0" w:space="0" w:color="auto"/>
        <w:left w:val="none" w:sz="0" w:space="0" w:color="auto"/>
        <w:bottom w:val="none" w:sz="0" w:space="0" w:color="auto"/>
        <w:right w:val="none" w:sz="0" w:space="0" w:color="auto"/>
      </w:divBdr>
    </w:div>
    <w:div w:id="2074884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16/j.carbon.2022.02.037" TargetMode="External"/><Relationship Id="rId13" Type="http://schemas.openxmlformats.org/officeDocument/2006/relationships/image" Target="media/image4.emf"/><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1.jpeg"/><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97AD2B-D8C3-477D-B25F-1E2C50F1E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23</Pages>
  <Words>3520</Words>
  <Characters>20064</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23537</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subject/>
  <dc:creator>Joel C. Corbin</dc:creator>
  <cp:keywords/>
  <dc:description/>
  <cp:lastModifiedBy>Mathankumar S.</cp:lastModifiedBy>
  <cp:revision>5</cp:revision>
  <cp:lastPrinted>2019-09-20T21:37:00Z</cp:lastPrinted>
  <dcterms:created xsi:type="dcterms:W3CDTF">2022-02-25T15:12:00Z</dcterms:created>
  <dcterms:modified xsi:type="dcterms:W3CDTF">2022-03-13T03:06:00Z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http://www.zotero.org/styles/atmospheric-chemistry-and-physics</vt:lpwstr>
  </property>
  <property fmtid="{D5CDD505-2E9C-101B-9397-08002B2CF9AE}" pid="9" name="Mendeley Recent Style Name 3_1">
    <vt:lpwstr>Atmospheric Chemistry and Physics</vt:lpwstr>
  </property>
  <property fmtid="{D5CDD505-2E9C-101B-9397-08002B2CF9AE}" pid="10" name="Mendeley Recent Style Id 4_1">
    <vt:lpwstr>http://www.zotero.org/styles/carbon</vt:lpwstr>
  </property>
  <property fmtid="{D5CDD505-2E9C-101B-9397-08002B2CF9AE}" pid="11" name="Mendeley Recent Style Name 4_1">
    <vt:lpwstr>Carbon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http://www.zotero.org/styles/journal-of-exposure-science-and-environmental-epidemiology</vt:lpwstr>
  </property>
  <property fmtid="{D5CDD505-2E9C-101B-9397-08002B2CF9AE}" pid="15" name="Mendeley Recent Style Name 6_1">
    <vt:lpwstr>Journal of Exposure Science and Environmental Epidemiology</vt:lpwstr>
  </property>
  <property fmtid="{D5CDD505-2E9C-101B-9397-08002B2CF9AE}" pid="16" name="Mendeley Recent Style Id 7_1">
    <vt:lpwstr>http://www.zotero.org/styles/journal-of-geophysical-research-atmospheres</vt:lpwstr>
  </property>
  <property fmtid="{D5CDD505-2E9C-101B-9397-08002B2CF9AE}" pid="17" name="Mendeley Recent Style Name 7_1">
    <vt:lpwstr>Journal of Geophysical Research: Atmospheres</vt:lpwstr>
  </property>
  <property fmtid="{D5CDD505-2E9C-101B-9397-08002B2CF9AE}" pid="18" name="Mendeley Recent Style Id 8_1">
    <vt:lpwstr>http://www.zotero.org/styles/scientific-reports</vt:lpwstr>
  </property>
  <property fmtid="{D5CDD505-2E9C-101B-9397-08002B2CF9AE}" pid="19" name="Mendeley Recent Style Name 8_1">
    <vt:lpwstr>Scientific Reports</vt:lpwstr>
  </property>
  <property fmtid="{D5CDD505-2E9C-101B-9397-08002B2CF9AE}" pid="20" name="Mendeley Recent Style Id 9_1">
    <vt:lpwstr>http://www.zotero.org/styles/the-lancet-infectious-diseases</vt:lpwstr>
  </property>
  <property fmtid="{D5CDD505-2E9C-101B-9397-08002B2CF9AE}" pid="21" name="Mendeley Recent Style Name 9_1">
    <vt:lpwstr>The Lancet Infectious Diseases</vt:lpwstr>
  </property>
  <property fmtid="{D5CDD505-2E9C-101B-9397-08002B2CF9AE}" pid="22" name="Mendeley Document_1">
    <vt:lpwstr>True</vt:lpwstr>
  </property>
  <property fmtid="{D5CDD505-2E9C-101B-9397-08002B2CF9AE}" pid="23" name="Mendeley Unique User Id_1">
    <vt:lpwstr>b41aaafd-c934-3953-ac76-97f3ea555534</vt:lpwstr>
  </property>
  <property fmtid="{D5CDD505-2E9C-101B-9397-08002B2CF9AE}" pid="24" name="Mendeley Citation Style_1">
    <vt:lpwstr>http://www.zotero.org/styles/carbon</vt:lpwstr>
  </property>
</Properties>
</file>