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E9959A6" w14:textId="14F74BD0" w:rsidR="005C46DB" w:rsidRPr="005C46DB" w:rsidRDefault="005C46DB" w:rsidP="005C46DB">
      <w:pPr>
        <w:spacing w:line="360" w:lineRule="auto"/>
        <w:rPr>
          <w:rFonts w:cs="Times New Roman"/>
          <w:b/>
          <w:bCs/>
          <w:lang w:val="en-US"/>
        </w:rPr>
      </w:pPr>
      <w:r>
        <w:rPr>
          <w:rFonts w:cs="Times New Roman"/>
          <w:lang w:val="en-US"/>
        </w:rPr>
        <w:t xml:space="preserve">                                                                                                                                                                                                                                                                                                                                                                                                                                                                                                                                                                                                                                                                                                                                                                                                                                                                                                                                                                                                                                                                                                                                                                                                                                                                                                                                                                          </w:t>
      </w:r>
      <w:r w:rsidRPr="005C46DB">
        <w:rPr>
          <w:rFonts w:cs="Times New Roman"/>
          <w:b/>
          <w:bCs/>
          <w:lang w:val="en-US"/>
        </w:rPr>
        <w:t>Self-healing hydrogel as carrier of photosensitizers based on polythiophene/ boron nitride nanotubes for photodynamic therapy of cancer cells</w:t>
      </w:r>
    </w:p>
    <w:p w14:paraId="26D47170" w14:textId="77777777" w:rsidR="00A63E2C" w:rsidRPr="00652484" w:rsidRDefault="00A63E2C" w:rsidP="00A63E2C">
      <w:pPr>
        <w:rPr>
          <w:vertAlign w:val="superscript"/>
          <w:lang w:val="en-US"/>
        </w:rPr>
      </w:pPr>
      <w:bookmarkStart w:id="0" w:name="_Hlk189650598"/>
      <w:r w:rsidRPr="00F139AF">
        <w:rPr>
          <w:lang w:val="en-US"/>
        </w:rPr>
        <w:t>Natalia Pettinelli</w:t>
      </w:r>
      <w:r>
        <w:rPr>
          <w:vertAlign w:val="superscript"/>
          <w:lang w:val="en-US"/>
        </w:rPr>
        <w:t>a</w:t>
      </w:r>
      <w:r w:rsidRPr="00F139AF">
        <w:rPr>
          <w:lang w:val="en-US"/>
        </w:rPr>
        <w:t xml:space="preserve">, </w:t>
      </w:r>
      <w:bookmarkStart w:id="1" w:name="_Hlk189646267"/>
      <w:r w:rsidRPr="00F139AF">
        <w:rPr>
          <w:lang w:val="en-US"/>
        </w:rPr>
        <w:t>Yadienka Martinez-Rubi</w:t>
      </w:r>
      <w:r>
        <w:rPr>
          <w:vertAlign w:val="superscript"/>
          <w:lang w:val="en-US"/>
        </w:rPr>
        <w:t>b</w:t>
      </w:r>
      <w:bookmarkEnd w:id="1"/>
      <w:r w:rsidRPr="00F139AF">
        <w:rPr>
          <w:lang w:val="en-US"/>
        </w:rPr>
        <w:t>*, Saddys Rodríguez-Llamazares</w:t>
      </w:r>
      <w:r>
        <w:rPr>
          <w:vertAlign w:val="superscript"/>
          <w:lang w:val="en-US"/>
        </w:rPr>
        <w:t>a</w:t>
      </w:r>
      <w:r w:rsidRPr="00F139AF">
        <w:rPr>
          <w:lang w:val="en-US"/>
        </w:rPr>
        <w:t xml:space="preserve">*, </w:t>
      </w:r>
      <w:bookmarkStart w:id="2" w:name="_Hlk189646285"/>
      <w:r w:rsidRPr="00F139AF">
        <w:rPr>
          <w:lang w:val="en-US"/>
        </w:rPr>
        <w:t>Iván González-Chavarría</w:t>
      </w:r>
      <w:bookmarkEnd w:id="2"/>
      <w:r>
        <w:rPr>
          <w:vertAlign w:val="superscript"/>
          <w:lang w:val="en-US"/>
        </w:rPr>
        <w:t>c</w:t>
      </w:r>
      <w:r w:rsidRPr="00F139AF">
        <w:rPr>
          <w:lang w:val="en-US"/>
        </w:rPr>
        <w:t>,</w:t>
      </w:r>
      <w:r>
        <w:rPr>
          <w:lang w:val="en-US"/>
        </w:rPr>
        <w:t xml:space="preserve"> </w:t>
      </w:r>
      <w:bookmarkStart w:id="3" w:name="_Hlk189647344"/>
      <w:bookmarkStart w:id="4" w:name="_Hlk189647300"/>
      <w:r w:rsidRPr="00652484">
        <w:rPr>
          <w:lang w:val="en-US"/>
        </w:rPr>
        <w:t>Zygmunt J. Jakubek</w:t>
      </w:r>
      <w:bookmarkEnd w:id="3"/>
      <w:r w:rsidRPr="00652484">
        <w:rPr>
          <w:vertAlign w:val="superscript"/>
          <w:lang w:val="en-US"/>
        </w:rPr>
        <w:t>d</w:t>
      </w:r>
      <w:r w:rsidRPr="00652484">
        <w:rPr>
          <w:vertAlign w:val="subscript"/>
          <w:lang w:val="en-US"/>
        </w:rPr>
        <w:t>,</w:t>
      </w:r>
      <w:r w:rsidRPr="00935A4B">
        <w:rPr>
          <w:color w:val="FF0000"/>
          <w:lang w:val="en-US"/>
        </w:rPr>
        <w:t xml:space="preserve"> </w:t>
      </w:r>
      <w:r w:rsidRPr="00F139AF">
        <w:rPr>
          <w:lang w:val="en-US"/>
        </w:rPr>
        <w:t>Rebeca Bouza</w:t>
      </w:r>
      <w:bookmarkEnd w:id="4"/>
      <w:r w:rsidRPr="00E47B38">
        <w:rPr>
          <w:vertAlign w:val="superscript"/>
          <w:lang w:val="en-US"/>
        </w:rPr>
        <w:t>e</w:t>
      </w:r>
      <w:r>
        <w:rPr>
          <w:lang w:val="en-US"/>
        </w:rPr>
        <w:t xml:space="preserve">, </w:t>
      </w:r>
      <w:bookmarkStart w:id="5" w:name="_Hlk189647313"/>
      <w:r>
        <w:rPr>
          <w:lang w:val="en-US"/>
        </w:rPr>
        <w:t>María Paz Castillo</w:t>
      </w:r>
      <w:bookmarkEnd w:id="5"/>
      <w:r>
        <w:rPr>
          <w:vertAlign w:val="superscript"/>
          <w:lang w:val="en-US"/>
        </w:rPr>
        <w:t>c</w:t>
      </w:r>
      <w:r>
        <w:rPr>
          <w:lang w:val="en-US"/>
        </w:rPr>
        <w:t xml:space="preserve">, </w:t>
      </w:r>
      <w:bookmarkStart w:id="6" w:name="_Hlk189647327"/>
      <w:r>
        <w:rPr>
          <w:lang w:val="en-US"/>
        </w:rPr>
        <w:t>Yerko Rivas</w:t>
      </w:r>
      <w:r>
        <w:rPr>
          <w:vertAlign w:val="superscript"/>
          <w:lang w:val="en-US"/>
        </w:rPr>
        <w:t>c</w:t>
      </w:r>
      <w:bookmarkEnd w:id="6"/>
      <w:r>
        <w:rPr>
          <w:lang w:val="en-US"/>
        </w:rPr>
        <w:t>, Nery Jara</w:t>
      </w:r>
      <w:r w:rsidRPr="001E2B72">
        <w:rPr>
          <w:vertAlign w:val="superscript"/>
          <w:lang w:val="en-US"/>
        </w:rPr>
        <w:t>f</w:t>
      </w:r>
      <w:r>
        <w:rPr>
          <w:lang w:val="en-US"/>
        </w:rPr>
        <w:t xml:space="preserve">, </w:t>
      </w:r>
      <w:r w:rsidRPr="00652484">
        <w:rPr>
          <w:lang w:val="en-US"/>
        </w:rPr>
        <w:t>Jianfu Ding</w:t>
      </w:r>
      <w:r w:rsidRPr="00652484">
        <w:rPr>
          <w:vertAlign w:val="superscript"/>
          <w:lang w:val="en-US"/>
        </w:rPr>
        <w:t>b</w:t>
      </w:r>
      <w:bookmarkStart w:id="7" w:name="_Hlk189647357"/>
      <w:r w:rsidRPr="00652484">
        <w:rPr>
          <w:lang w:val="en-US"/>
        </w:rPr>
        <w:t>, Christopher Kingston</w:t>
      </w:r>
      <w:bookmarkEnd w:id="7"/>
      <w:r w:rsidRPr="00652484">
        <w:rPr>
          <w:vertAlign w:val="superscript"/>
          <w:lang w:val="en-US"/>
        </w:rPr>
        <w:t>b</w:t>
      </w:r>
    </w:p>
    <w:bookmarkEnd w:id="0"/>
    <w:p w14:paraId="3A0A1576" w14:textId="77777777" w:rsidR="00212F4F" w:rsidRPr="005C46DB" w:rsidRDefault="00212F4F" w:rsidP="007337E3">
      <w:pPr>
        <w:rPr>
          <w:rFonts w:cs="Times New Roman"/>
          <w:lang w:val="en-US"/>
        </w:rPr>
      </w:pPr>
    </w:p>
    <w:p w14:paraId="3EEF8971" w14:textId="77777777" w:rsidR="004E3328" w:rsidRPr="000D4B2B" w:rsidRDefault="004E3328" w:rsidP="004E3328">
      <w:pPr>
        <w:rPr>
          <w:b/>
          <w:i/>
          <w:shd w:val="clear" w:color="auto" w:fill="FAF9F8"/>
        </w:rPr>
      </w:pPr>
      <w:r w:rsidRPr="000D4B2B">
        <w:rPr>
          <w:b/>
          <w:i/>
          <w:shd w:val="clear" w:color="auto" w:fill="FAF9F8"/>
        </w:rPr>
        <w:t xml:space="preserve">Characterization of the functionalized BNNTs </w:t>
      </w:r>
    </w:p>
    <w:p w14:paraId="6307237E" w14:textId="77777777" w:rsidR="00372BFC" w:rsidRDefault="00372BFC" w:rsidP="005F71E7">
      <w:pPr>
        <w:rPr>
          <w:rFonts w:asciiTheme="minorHAnsi" w:hAnsiTheme="minorHAnsi" w:cstheme="minorHAnsi"/>
          <w:b/>
          <w:sz w:val="24"/>
          <w:szCs w:val="24"/>
          <w:lang w:val="en-US"/>
        </w:rPr>
      </w:pPr>
    </w:p>
    <w:p w14:paraId="09A39B48" w14:textId="55C7471C" w:rsidR="00B30533" w:rsidRDefault="00330F16" w:rsidP="005F71E7">
      <w:pPr>
        <w:rPr>
          <w:rFonts w:asciiTheme="minorHAnsi" w:hAnsiTheme="minorHAnsi" w:cstheme="minorHAnsi"/>
          <w:b/>
          <w:sz w:val="24"/>
          <w:szCs w:val="24"/>
          <w:lang w:val="en-US"/>
        </w:rPr>
      </w:pPr>
      <w:r>
        <w:rPr>
          <w:noProof/>
          <w:lang w:val="en-US"/>
        </w:rPr>
        <w:drawing>
          <wp:inline distT="0" distB="0" distL="0" distR="0" wp14:anchorId="796E7B2E" wp14:editId="295AE7A9">
            <wp:extent cx="5612130" cy="3420745"/>
            <wp:effectExtent l="0" t="0" r="7620" b="8255"/>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2130" cy="3420745"/>
                    </a:xfrm>
                    <a:prstGeom prst="rect">
                      <a:avLst/>
                    </a:prstGeom>
                    <a:noFill/>
                    <a:ln>
                      <a:noFill/>
                    </a:ln>
                  </pic:spPr>
                </pic:pic>
              </a:graphicData>
            </a:graphic>
          </wp:inline>
        </w:drawing>
      </w:r>
    </w:p>
    <w:p w14:paraId="4553BDF0" w14:textId="366614C9" w:rsidR="00B30533" w:rsidRDefault="00B30533" w:rsidP="00B30533">
      <w:pPr>
        <w:rPr>
          <w:bCs/>
          <w:lang w:val="en-US"/>
        </w:rPr>
      </w:pPr>
      <w:r w:rsidRPr="00AB211F">
        <w:rPr>
          <w:lang w:val="en-US"/>
        </w:rPr>
        <w:t xml:space="preserve">Figure S1. </w:t>
      </w:r>
      <w:r w:rsidRPr="00AB211F">
        <w:rPr>
          <w:bCs/>
          <w:lang w:val="en-US"/>
        </w:rPr>
        <w:t>(a) Schematic of the n</w:t>
      </w:r>
      <w:r w:rsidRPr="00AB211F">
        <w:rPr>
          <w:lang w:val="en-US"/>
        </w:rPr>
        <w:t xml:space="preserve">oncovalent functionalization of BNNTs with PT-COOH and coupling of different molecular weight </w:t>
      </w:r>
      <w:r w:rsidRPr="00AB211F">
        <w:rPr>
          <w:bCs/>
          <w:lang w:val="en-US"/>
        </w:rPr>
        <w:t>bifunctionalized PEG linkers (</w:t>
      </w:r>
      <w:r w:rsidRPr="00AB211F">
        <w:rPr>
          <w:lang w:val="en-US"/>
        </w:rPr>
        <w:t>NH</w:t>
      </w:r>
      <w:r w:rsidRPr="00AB211F">
        <w:rPr>
          <w:vertAlign w:val="subscript"/>
          <w:lang w:val="en-US"/>
        </w:rPr>
        <w:t>2</w:t>
      </w:r>
      <w:r w:rsidRPr="00AB211F">
        <w:rPr>
          <w:lang w:val="en-US"/>
        </w:rPr>
        <w:t>-PEG-NH</w:t>
      </w:r>
      <w:r w:rsidRPr="00AB211F">
        <w:rPr>
          <w:vertAlign w:val="subscript"/>
          <w:lang w:val="en-US"/>
        </w:rPr>
        <w:t>2</w:t>
      </w:r>
      <w:r w:rsidRPr="00AB211F">
        <w:rPr>
          <w:lang w:val="en-US"/>
        </w:rPr>
        <w:t>)</w:t>
      </w:r>
      <w:r w:rsidRPr="00AB211F">
        <w:rPr>
          <w:bCs/>
          <w:lang w:val="en-US"/>
        </w:rPr>
        <w:t>. (b) Photos of corresponding BNNT, BNNT-COOH and BNNT-PEG</w:t>
      </w:r>
      <w:r w:rsidR="00A63E2C">
        <w:rPr>
          <w:bCs/>
          <w:lang w:val="en-US"/>
        </w:rPr>
        <w:t>NH</w:t>
      </w:r>
      <w:r w:rsidR="00A63E2C">
        <w:rPr>
          <w:bCs/>
          <w:vertAlign w:val="subscript"/>
          <w:lang w:val="en-US"/>
        </w:rPr>
        <w:t>2</w:t>
      </w:r>
      <w:r w:rsidRPr="00AB211F">
        <w:rPr>
          <w:bCs/>
          <w:lang w:val="en-US"/>
        </w:rPr>
        <w:t xml:space="preserve"> dispersions in THF.</w:t>
      </w:r>
    </w:p>
    <w:p w14:paraId="2C58FE2A" w14:textId="6D1B65C6" w:rsidR="004E3328" w:rsidRDefault="004E3328" w:rsidP="00B30533">
      <w:pPr>
        <w:rPr>
          <w:bCs/>
          <w:lang w:val="en-US"/>
        </w:rPr>
      </w:pPr>
    </w:p>
    <w:p w14:paraId="0D8CBA58" w14:textId="77777777" w:rsidR="004E3328" w:rsidRPr="004E3328" w:rsidRDefault="004E3328" w:rsidP="004E3328">
      <w:pPr>
        <w:pStyle w:val="ListParagraph"/>
        <w:numPr>
          <w:ilvl w:val="0"/>
          <w:numId w:val="6"/>
        </w:numPr>
        <w:tabs>
          <w:tab w:val="left" w:pos="2240"/>
        </w:tabs>
        <w:rPr>
          <w:rFonts w:ascii="Times New Roman" w:hAnsi="Times New Roman" w:cs="Times New Roman"/>
          <w:b/>
          <w:bCs/>
          <w:i/>
          <w:iCs/>
          <w:lang w:val="en-US"/>
        </w:rPr>
      </w:pPr>
      <w:r w:rsidRPr="004E3328">
        <w:rPr>
          <w:rFonts w:ascii="Times New Roman" w:hAnsi="Times New Roman" w:cs="Times New Roman"/>
          <w:b/>
          <w:bCs/>
          <w:i/>
          <w:iCs/>
          <w:lang w:val="en-US"/>
        </w:rPr>
        <w:lastRenderedPageBreak/>
        <w:t>Time-dependent stability</w:t>
      </w:r>
    </w:p>
    <w:p w14:paraId="15523913" w14:textId="28CE83DC" w:rsidR="004E3328" w:rsidRPr="004E3328" w:rsidRDefault="004E3328" w:rsidP="004E3328">
      <w:pPr>
        <w:tabs>
          <w:tab w:val="left" w:pos="2240"/>
        </w:tabs>
        <w:rPr>
          <w:rFonts w:cs="Times New Roman"/>
          <w:lang w:val="en-US"/>
        </w:rPr>
      </w:pPr>
      <w:r w:rsidRPr="004E3328">
        <w:rPr>
          <w:rFonts w:cs="Times New Roman"/>
          <w:lang w:val="en-US"/>
        </w:rPr>
        <w:t>The time-dependent stability of the PT-BNNT dispersions was evaluated by comparing the UV-VIS spectra recorded at time 0 and after 12 days. A decrease in the intensity of the extinction absorption spectrum was observed for both BNNT-COOH and BNNT-PEGNH</w:t>
      </w:r>
      <w:r w:rsidRPr="00BB0DE0">
        <w:rPr>
          <w:rFonts w:cs="Times New Roman"/>
          <w:vertAlign w:val="subscript"/>
          <w:lang w:val="en-US"/>
        </w:rPr>
        <w:t>2</w:t>
      </w:r>
      <w:r w:rsidRPr="004E3328">
        <w:rPr>
          <w:rFonts w:cs="Times New Roman"/>
          <w:lang w:val="en-US"/>
        </w:rPr>
        <w:t>, with scattering component decreased and absorption unchanged. Since no significant changes to the shape and absorbance of the structured absorption band were observed this would indicate that the structure of the noncovalently bound polymer is not changing with time. Decreased scattering component would indicate improved dispersion of individualized PT-BNNT particles and/or sedimentation or large particles. SEM images of the sediment and the resultant dispersion shows that mainly h-BN impurities, which are present in the BNNT material, are identified as the particles separating out of the dispersion. SEM results agree with the low specific surface area of h-BN impurities (Martinez-Rubi et al., 2019) and poor interaction with the conjugated polymers leading to a poor dispersibility of the impurities. The stability of the dispersions is further supported by high negative surface charge and/or steric repulsion of PEG.</w:t>
      </w:r>
    </w:p>
    <w:p w14:paraId="0E6439F7" w14:textId="77777777" w:rsidR="004E3328" w:rsidRDefault="004E3328" w:rsidP="004E3328">
      <w:pPr>
        <w:jc w:val="center"/>
      </w:pPr>
      <w:r>
        <w:rPr>
          <w:noProof/>
          <w:lang w:val="en-US"/>
        </w:rPr>
        <w:drawing>
          <wp:inline distT="0" distB="0" distL="0" distR="0" wp14:anchorId="2DF48BDC" wp14:editId="19A6466C">
            <wp:extent cx="4188848" cy="3448050"/>
            <wp:effectExtent l="0" t="0" r="254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189498" cy="3448585"/>
                    </a:xfrm>
                    <a:prstGeom prst="rect">
                      <a:avLst/>
                    </a:prstGeom>
                    <a:noFill/>
                    <a:ln>
                      <a:noFill/>
                    </a:ln>
                  </pic:spPr>
                </pic:pic>
              </a:graphicData>
            </a:graphic>
          </wp:inline>
        </w:drawing>
      </w:r>
    </w:p>
    <w:p w14:paraId="510B1FBD" w14:textId="2C5DEEFC" w:rsidR="004E3328" w:rsidRDefault="004E3328" w:rsidP="00B30533">
      <w:pPr>
        <w:rPr>
          <w:lang w:val="en-US"/>
        </w:rPr>
      </w:pPr>
      <w:r w:rsidRPr="00AA3FC5">
        <w:rPr>
          <w:lang w:val="en-US"/>
        </w:rPr>
        <w:lastRenderedPageBreak/>
        <w:t>Figure S2.</w:t>
      </w:r>
      <w:r w:rsidRPr="00431C60">
        <w:rPr>
          <w:lang w:val="en-US"/>
        </w:rPr>
        <w:t xml:space="preserve"> Evaluation of the time-dependent stability of functionalized BNNTs in water. A) UV-VIS absorption spectra of BNNT-COOH and BNNT-PEGNH₂ at 0 and 12 days: B) SEM image of the remaining dispersion and C and D) </w:t>
      </w:r>
      <w:r w:rsidR="00BB0DE0">
        <w:rPr>
          <w:lang w:val="en-US"/>
        </w:rPr>
        <w:t>SEM i</w:t>
      </w:r>
      <w:r w:rsidRPr="00431C60">
        <w:rPr>
          <w:lang w:val="en-US"/>
        </w:rPr>
        <w:t>mages of the sediment.</w:t>
      </w:r>
    </w:p>
    <w:p w14:paraId="4A8EF326" w14:textId="77777777" w:rsidR="000D4B2B" w:rsidRDefault="000D4B2B" w:rsidP="00B30533">
      <w:pPr>
        <w:rPr>
          <w:lang w:val="en-US"/>
        </w:rPr>
      </w:pPr>
    </w:p>
    <w:p w14:paraId="103AFC28" w14:textId="619EA443" w:rsidR="004E3328" w:rsidRPr="00BB0DE0" w:rsidRDefault="004E3328" w:rsidP="000D4B2B">
      <w:pPr>
        <w:spacing w:before="120"/>
        <w:rPr>
          <w:b/>
          <w:i/>
          <w:shd w:val="clear" w:color="auto" w:fill="FAF9F8"/>
          <w:lang w:val="en-US"/>
        </w:rPr>
      </w:pPr>
      <w:r w:rsidRPr="00BB0DE0">
        <w:rPr>
          <w:b/>
          <w:i/>
          <w:shd w:val="clear" w:color="auto" w:fill="FAF9F8"/>
          <w:lang w:val="en-US"/>
        </w:rPr>
        <w:t>Characterization of chitosan/dialdehyde starch/BNNTs hydrogels</w:t>
      </w:r>
    </w:p>
    <w:p w14:paraId="242B9757" w14:textId="77777777" w:rsidR="00431C60" w:rsidRPr="00BB0DE0" w:rsidRDefault="00431C60" w:rsidP="004E3328">
      <w:pPr>
        <w:pStyle w:val="ListParagraph"/>
        <w:numPr>
          <w:ilvl w:val="0"/>
          <w:numId w:val="6"/>
        </w:numPr>
        <w:rPr>
          <w:rFonts w:ascii="Times New Roman" w:hAnsi="Times New Roman" w:cs="Times New Roman"/>
          <w:b/>
          <w:bCs/>
          <w:i/>
          <w:lang w:val="en-US"/>
        </w:rPr>
      </w:pPr>
      <w:r w:rsidRPr="00BB0DE0">
        <w:rPr>
          <w:rFonts w:ascii="Times New Roman" w:hAnsi="Times New Roman" w:cs="Times New Roman"/>
          <w:b/>
          <w:bCs/>
          <w:i/>
          <w:shd w:val="clear" w:color="auto" w:fill="FAF9F8"/>
          <w:lang w:val="en-US"/>
        </w:rPr>
        <w:t>Attenuated total reflectance ATR-FTIR spectroscopy</w:t>
      </w:r>
    </w:p>
    <w:p w14:paraId="37599F5A" w14:textId="77777777" w:rsidR="00431C60" w:rsidRPr="00BB0DE0" w:rsidRDefault="00431C60" w:rsidP="00431C60">
      <w:pPr>
        <w:pStyle w:val="ListParagraph"/>
        <w:rPr>
          <w:rFonts w:ascii="Times New Roman" w:hAnsi="Times New Roman" w:cs="Times New Roman"/>
          <w:b/>
          <w:i/>
          <w:lang w:val="en-US"/>
        </w:rPr>
      </w:pPr>
    </w:p>
    <w:p w14:paraId="044302C3" w14:textId="77777777" w:rsidR="00431C60" w:rsidRDefault="00431C60" w:rsidP="00431C60">
      <w:pPr>
        <w:pStyle w:val="ListParagraph"/>
        <w:spacing w:line="480" w:lineRule="auto"/>
        <w:ind w:left="0"/>
        <w:jc w:val="both"/>
        <w:rPr>
          <w:rFonts w:ascii="Times New Roman" w:hAnsi="Times New Roman" w:cs="Times New Roman"/>
          <w:w w:val="107"/>
          <w:lang w:val="en-US"/>
        </w:rPr>
      </w:pPr>
      <w:bookmarkStart w:id="8" w:name="_Hlk164872616"/>
      <w:r w:rsidRPr="00BB0DE0">
        <w:rPr>
          <w:rFonts w:ascii="Times New Roman" w:hAnsi="Times New Roman" w:cs="Times New Roman"/>
          <w:shd w:val="clear" w:color="auto" w:fill="FAF9F8"/>
          <w:lang w:val="en-US"/>
        </w:rPr>
        <w:t xml:space="preserve">Dialdehyde corn starch and corn starch </w:t>
      </w:r>
      <w:r w:rsidRPr="00BB0DE0">
        <w:rPr>
          <w:rFonts w:ascii="Times New Roman" w:hAnsi="Times New Roman" w:cs="Times New Roman"/>
          <w:shd w:val="clear" w:color="auto" w:fill="FAF9F8"/>
        </w:rPr>
        <w:t>were characterized by Fourier transform infrared (FTIR) spectroscopy on an Agilent Cary 630 FTIR spectrometer with Diamond attenuated total re</w:t>
      </w:r>
      <w:r w:rsidRPr="00BB0DE0">
        <w:rPr>
          <w:rFonts w:ascii="Times New Roman" w:hAnsi="Times New Roman" w:cs="Times New Roman"/>
          <w:shd w:val="clear" w:color="auto" w:fill="FAF9F8"/>
          <w:lang w:val="fr-CA"/>
        </w:rPr>
        <w:t>ﬂ</w:t>
      </w:r>
      <w:r w:rsidRPr="00BB0DE0">
        <w:rPr>
          <w:rFonts w:ascii="Times New Roman" w:hAnsi="Times New Roman" w:cs="Times New Roman"/>
          <w:shd w:val="clear" w:color="auto" w:fill="FAF9F8"/>
        </w:rPr>
        <w:t>ectance (ATR) (USA) as the sample interface.</w:t>
      </w:r>
      <w:r w:rsidRPr="00BB0DE0">
        <w:t xml:space="preserve"> </w:t>
      </w:r>
      <w:r w:rsidRPr="00BB0DE0">
        <w:rPr>
          <w:rFonts w:ascii="Times New Roman" w:hAnsi="Times New Roman" w:cs="Times New Roman"/>
          <w:shd w:val="clear" w:color="auto" w:fill="FAF9F8"/>
        </w:rPr>
        <w:t>The ATR-FTIR spectra of samples were</w:t>
      </w:r>
      <w:r w:rsidRPr="00996A6E">
        <w:rPr>
          <w:rFonts w:ascii="Times New Roman" w:hAnsi="Times New Roman" w:cs="Times New Roman"/>
          <w:lang w:val="en-US"/>
        </w:rPr>
        <w:t xml:space="preserve"> </w:t>
      </w:r>
      <w:r w:rsidRPr="00996A6E">
        <w:rPr>
          <w:rFonts w:ascii="Times New Roman" w:hAnsi="Times New Roman" w:cs="Times New Roman"/>
          <w:spacing w:val="25"/>
          <w:lang w:val="en-US"/>
        </w:rPr>
        <w:t>recorded</w:t>
      </w:r>
      <w:r w:rsidRPr="00996A6E">
        <w:rPr>
          <w:rFonts w:ascii="Times New Roman" w:hAnsi="Times New Roman" w:cs="Times New Roman"/>
          <w:lang w:val="en-US"/>
        </w:rPr>
        <w:t xml:space="preserve"> by</w:t>
      </w:r>
      <w:r w:rsidRPr="00996A6E">
        <w:rPr>
          <w:rFonts w:ascii="Times New Roman" w:hAnsi="Times New Roman" w:cs="Times New Roman"/>
          <w:spacing w:val="34"/>
          <w:lang w:val="en-US"/>
        </w:rPr>
        <w:t xml:space="preserve"> </w:t>
      </w:r>
      <w:r w:rsidRPr="00996A6E">
        <w:rPr>
          <w:rFonts w:ascii="Times New Roman" w:hAnsi="Times New Roman" w:cs="Times New Roman"/>
          <w:w w:val="109"/>
          <w:lang w:val="en-US"/>
        </w:rPr>
        <w:t>averaging</w:t>
      </w:r>
      <w:r w:rsidRPr="00996A6E">
        <w:rPr>
          <w:rFonts w:ascii="Times New Roman" w:hAnsi="Times New Roman" w:cs="Times New Roman"/>
          <w:spacing w:val="17"/>
          <w:w w:val="109"/>
          <w:lang w:val="en-US"/>
        </w:rPr>
        <w:t xml:space="preserve"> </w:t>
      </w:r>
      <w:r w:rsidRPr="00996A6E">
        <w:rPr>
          <w:rFonts w:ascii="Times New Roman" w:hAnsi="Times New Roman" w:cs="Times New Roman"/>
          <w:lang w:val="en-US"/>
        </w:rPr>
        <w:t xml:space="preserve">the </w:t>
      </w:r>
      <w:r w:rsidRPr="00996A6E">
        <w:rPr>
          <w:rFonts w:ascii="Times New Roman" w:hAnsi="Times New Roman" w:cs="Times New Roman"/>
          <w:spacing w:val="8"/>
          <w:lang w:val="en-US"/>
        </w:rPr>
        <w:t>signals</w:t>
      </w:r>
      <w:r w:rsidRPr="00996A6E">
        <w:rPr>
          <w:rFonts w:ascii="Times New Roman" w:hAnsi="Times New Roman" w:cs="Times New Roman"/>
          <w:lang w:val="en-US"/>
        </w:rPr>
        <w:t xml:space="preserve"> </w:t>
      </w:r>
      <w:r w:rsidRPr="00996A6E">
        <w:rPr>
          <w:rFonts w:ascii="Times New Roman" w:hAnsi="Times New Roman" w:cs="Times New Roman"/>
          <w:spacing w:val="12"/>
          <w:lang w:val="en-US"/>
        </w:rPr>
        <w:t>of</w:t>
      </w:r>
      <w:r w:rsidRPr="00996A6E">
        <w:rPr>
          <w:rFonts w:ascii="Times New Roman" w:hAnsi="Times New Roman" w:cs="Times New Roman"/>
          <w:spacing w:val="26"/>
          <w:lang w:val="en-US"/>
        </w:rPr>
        <w:t xml:space="preserve"> </w:t>
      </w:r>
      <w:r>
        <w:rPr>
          <w:rFonts w:ascii="Times New Roman" w:hAnsi="Times New Roman" w:cs="Times New Roman"/>
          <w:lang w:val="en-US"/>
        </w:rPr>
        <w:t>32</w:t>
      </w:r>
      <w:r w:rsidRPr="00996A6E">
        <w:rPr>
          <w:rFonts w:ascii="Times New Roman" w:hAnsi="Times New Roman" w:cs="Times New Roman"/>
          <w:lang w:val="en-US"/>
        </w:rPr>
        <w:t xml:space="preserve"> scans </w:t>
      </w:r>
      <w:r w:rsidRPr="00996A6E">
        <w:rPr>
          <w:rFonts w:ascii="Times New Roman" w:hAnsi="Times New Roman" w:cs="Times New Roman"/>
          <w:spacing w:val="5"/>
          <w:lang w:val="en-US"/>
        </w:rPr>
        <w:t>at</w:t>
      </w:r>
      <w:r w:rsidRPr="00996A6E">
        <w:rPr>
          <w:rFonts w:ascii="Times New Roman" w:hAnsi="Times New Roman" w:cs="Times New Roman"/>
          <w:lang w:val="en-US"/>
        </w:rPr>
        <w:t xml:space="preserve"> 4</w:t>
      </w:r>
      <w:r w:rsidRPr="00996A6E">
        <w:rPr>
          <w:rFonts w:ascii="Times New Roman" w:hAnsi="Times New Roman" w:cs="Times New Roman"/>
          <w:spacing w:val="30"/>
          <w:lang w:val="en-US"/>
        </w:rPr>
        <w:t xml:space="preserve"> </w:t>
      </w:r>
      <w:r>
        <w:rPr>
          <w:rFonts w:ascii="Times New Roman" w:hAnsi="Times New Roman" w:cs="Times New Roman"/>
          <w:w w:val="107"/>
          <w:lang w:val="en-US"/>
        </w:rPr>
        <w:t>cm</w:t>
      </w:r>
      <w:r>
        <w:rPr>
          <w:rFonts w:ascii="Times New Roman" w:hAnsi="Times New Roman" w:cs="Times New Roman"/>
          <w:w w:val="107"/>
          <w:vertAlign w:val="superscript"/>
          <w:lang w:val="en-US"/>
        </w:rPr>
        <w:t>-1</w:t>
      </w:r>
      <w:r>
        <w:rPr>
          <w:rFonts w:ascii="Times New Roman" w:hAnsi="Times New Roman" w:cs="Times New Roman"/>
          <w:w w:val="107"/>
          <w:lang w:val="en-US"/>
        </w:rPr>
        <w:t xml:space="preserve"> of </w:t>
      </w:r>
      <w:r w:rsidRPr="00996A6E">
        <w:rPr>
          <w:rFonts w:ascii="Times New Roman" w:hAnsi="Times New Roman" w:cs="Times New Roman"/>
          <w:w w:val="110"/>
          <w:lang w:val="en-US"/>
        </w:rPr>
        <w:t>resolution</w:t>
      </w:r>
      <w:r w:rsidRPr="00996A6E">
        <w:rPr>
          <w:rFonts w:ascii="Times New Roman" w:hAnsi="Times New Roman" w:cs="Times New Roman"/>
          <w:spacing w:val="26"/>
          <w:lang w:val="en-US"/>
        </w:rPr>
        <w:t xml:space="preserve"> </w:t>
      </w:r>
      <w:r>
        <w:rPr>
          <w:rFonts w:ascii="Times New Roman" w:hAnsi="Times New Roman" w:cs="Times New Roman"/>
          <w:w w:val="107"/>
          <w:lang w:val="en-US"/>
        </w:rPr>
        <w:t xml:space="preserve">in </w:t>
      </w:r>
      <w:r w:rsidRPr="00996A6E">
        <w:rPr>
          <w:rFonts w:ascii="Times New Roman" w:hAnsi="Times New Roman" w:cs="Times New Roman"/>
          <w:w w:val="114"/>
          <w:lang w:val="en-US"/>
        </w:rPr>
        <w:t xml:space="preserve">the </w:t>
      </w:r>
      <w:r w:rsidRPr="00996A6E">
        <w:rPr>
          <w:rFonts w:ascii="Times New Roman" w:hAnsi="Times New Roman" w:cs="Times New Roman"/>
          <w:lang w:val="en-US"/>
        </w:rPr>
        <w:t xml:space="preserve">range </w:t>
      </w:r>
      <w:r w:rsidRPr="00996A6E">
        <w:rPr>
          <w:rFonts w:ascii="Times New Roman" w:hAnsi="Times New Roman" w:cs="Times New Roman"/>
          <w:spacing w:val="12"/>
          <w:lang w:val="en-US"/>
        </w:rPr>
        <w:t>from</w:t>
      </w:r>
      <w:r w:rsidRPr="00996A6E">
        <w:rPr>
          <w:rFonts w:ascii="Times New Roman" w:hAnsi="Times New Roman" w:cs="Times New Roman"/>
          <w:spacing w:val="38"/>
          <w:lang w:val="en-US"/>
        </w:rPr>
        <w:t xml:space="preserve"> </w:t>
      </w:r>
      <w:r w:rsidRPr="00996A6E">
        <w:rPr>
          <w:rFonts w:ascii="Times New Roman" w:hAnsi="Times New Roman" w:cs="Times New Roman"/>
          <w:lang w:val="en-US"/>
        </w:rPr>
        <w:t xml:space="preserve">4000 </w:t>
      </w:r>
      <w:r w:rsidRPr="00996A6E">
        <w:rPr>
          <w:rFonts w:ascii="Times New Roman" w:hAnsi="Times New Roman" w:cs="Times New Roman"/>
          <w:spacing w:val="11"/>
          <w:lang w:val="en-US"/>
        </w:rPr>
        <w:t>cm</w:t>
      </w:r>
      <w:r>
        <w:rPr>
          <w:rFonts w:ascii="Times New Roman" w:hAnsi="Times New Roman" w:cs="Times New Roman"/>
          <w:w w:val="107"/>
          <w:vertAlign w:val="superscript"/>
          <w:lang w:val="en-US"/>
        </w:rPr>
        <w:t>-1</w:t>
      </w:r>
      <w:r>
        <w:rPr>
          <w:rFonts w:ascii="Times New Roman" w:hAnsi="Times New Roman" w:cs="Times New Roman"/>
          <w:w w:val="107"/>
          <w:lang w:val="en-US"/>
        </w:rPr>
        <w:t xml:space="preserve"> to </w:t>
      </w:r>
      <w:r>
        <w:rPr>
          <w:rFonts w:ascii="Times New Roman" w:hAnsi="Times New Roman" w:cs="Times New Roman"/>
          <w:spacing w:val="29"/>
          <w:lang w:val="en-US"/>
        </w:rPr>
        <w:t>5</w:t>
      </w:r>
      <w:r w:rsidRPr="00996A6E">
        <w:rPr>
          <w:rFonts w:ascii="Times New Roman" w:hAnsi="Times New Roman" w:cs="Times New Roman"/>
          <w:spacing w:val="29"/>
          <w:lang w:val="en-US"/>
        </w:rPr>
        <w:t>00</w:t>
      </w:r>
      <w:r w:rsidRPr="00996A6E">
        <w:rPr>
          <w:rFonts w:ascii="Times New Roman" w:hAnsi="Times New Roman" w:cs="Times New Roman"/>
          <w:lang w:val="en-US"/>
        </w:rPr>
        <w:t xml:space="preserve"> </w:t>
      </w:r>
      <w:r w:rsidRPr="00996A6E">
        <w:rPr>
          <w:rFonts w:ascii="Times New Roman" w:hAnsi="Times New Roman" w:cs="Times New Roman"/>
          <w:spacing w:val="2"/>
          <w:lang w:val="en-US"/>
        </w:rPr>
        <w:t>cm</w:t>
      </w:r>
      <w:r>
        <w:rPr>
          <w:rFonts w:ascii="Times New Roman" w:hAnsi="Times New Roman" w:cs="Times New Roman"/>
          <w:w w:val="107"/>
          <w:vertAlign w:val="superscript"/>
          <w:lang w:val="en-US"/>
        </w:rPr>
        <w:t>-1</w:t>
      </w:r>
      <w:r>
        <w:rPr>
          <w:rFonts w:ascii="Times New Roman" w:hAnsi="Times New Roman" w:cs="Times New Roman"/>
          <w:w w:val="107"/>
          <w:lang w:val="en-US"/>
        </w:rPr>
        <w:t xml:space="preserve">. </w:t>
      </w:r>
      <w:bookmarkEnd w:id="8"/>
    </w:p>
    <w:p w14:paraId="19CD95C2" w14:textId="77777777" w:rsidR="00431C60" w:rsidRPr="005A19C2" w:rsidRDefault="00431C60" w:rsidP="004E3328">
      <w:pPr>
        <w:pStyle w:val="ListParagraph"/>
        <w:numPr>
          <w:ilvl w:val="0"/>
          <w:numId w:val="6"/>
        </w:numPr>
        <w:spacing w:line="480" w:lineRule="auto"/>
        <w:jc w:val="both"/>
        <w:rPr>
          <w:rFonts w:ascii="Times New Roman" w:hAnsi="Times New Roman" w:cs="Times New Roman"/>
          <w:w w:val="111"/>
          <w:lang w:val="en-US"/>
        </w:rPr>
      </w:pPr>
      <w:r w:rsidRPr="005A19C2">
        <w:rPr>
          <w:rFonts w:ascii="Times New Roman" w:hAnsi="Times New Roman" w:cs="Times New Roman"/>
          <w:b/>
          <w:bCs/>
          <w:i/>
          <w:shd w:val="clear" w:color="auto" w:fill="FAF9F8"/>
        </w:rPr>
        <w:t>Determination of aldehyde content</w:t>
      </w:r>
    </w:p>
    <w:p w14:paraId="7EF6FFAD" w14:textId="77777777" w:rsidR="00431C60" w:rsidRPr="005A19C2" w:rsidRDefault="00431C60" w:rsidP="00431C60">
      <w:pPr>
        <w:rPr>
          <w:rFonts w:cs="Times New Roman"/>
          <w:shd w:val="clear" w:color="auto" w:fill="FAF9F8"/>
          <w:lang w:val="en-US"/>
        </w:rPr>
      </w:pPr>
      <w:r w:rsidRPr="005A19C2">
        <w:rPr>
          <w:rFonts w:cs="Times New Roman"/>
          <w:shd w:val="clear" w:color="auto" w:fill="FAF9F8"/>
          <w:lang w:val="en-US"/>
        </w:rPr>
        <w:t>Aldehyde content of the DCS was determined by iodometric titration according to Vahedi et al.</w:t>
      </w:r>
      <w:r w:rsidRPr="00784932">
        <w:rPr>
          <w:rFonts w:cs="Times New Roman"/>
          <w:shd w:val="clear" w:color="auto" w:fill="FAF9F8"/>
        </w:rPr>
        <w:fldChar w:fldCharType="begin" w:fldLock="1"/>
      </w:r>
      <w:r w:rsidRPr="005A19C2">
        <w:rPr>
          <w:rFonts w:cs="Times New Roman"/>
          <w:shd w:val="clear" w:color="auto" w:fill="FAF9F8"/>
          <w:lang w:val="en-US"/>
        </w:rPr>
        <w:instrText>ADDIN CSL_CITATION {"citationItems":[{"id":"ITEM-1","itemData":{"DOI":"10.1002/mame.202000045","ISSN":"14392054","abstract":"Despite excellent processing and biological properties of gelatin for use as a cell carrier, none of the gelatin-based hydrogel cell carriers reported to date offer all characteristics including quick formation, injectability, self-healing, and durability, which are simultaneously required for an ideal system. Here, a gelatin-based hydrogel with dynamic Schiff base linkages, so-called “dynamic hydrogel,” as an injectable cell carrier consisting of gelatin and amylopectin multiple aldehyde (AMPA), with all the required characteristics is reported. Biocompatibility and osteoinductivity of the hydrogel are verified through the culture of human bone marrow-derived mesenchymal stem cells (hBMSCs). As live/dead results show, hBMSCs are alive and highly viable ≈85–90% within the hydrogel after 5 days. According to bromodeoxyuridine cell proliferation assay, a significant increase in the number of the cells seeded in the hydrogel confirms its clinical significance for cell therapy. Most importantly, histological visualization using Mason's Trichrome staining indicates secretion of extracellular matrix around the cells loaded in the hydrogel and also expression level evaluation of the crucial osteogenic markers, confirms that the hydrogel can provide osteoinductive support for osteocyte differentiation of hBMSCs after 14 days. Therefore, this hydrogel provides more progress on the path toward bone tissue engineering and further treatment of bone diseases.","author":[{"dropping-particle":"","family":"Vahedi","given":"Mohammad","non-dropping-particle":"","parse-names":false,"suffix":""},{"dropping-particle":"","family":"Shokrolahi","given":"Fatemeh","non-dropping-particle":"","parse-names":false,"suffix":""},{"dropping-particle":"","family":"Barzin","given":"Jalal","non-dropping-particle":"","parse-names":false,"suffix":""},{"dropping-particle":"","family":"Shokrollahi","given":"Parvin","non-dropping-particle":"","parse-names":false,"suffix":""},{"dropping-particle":"","family":"Taghiyar","given":"Leila","non-dropping-particle":"","parse-names":false,"suffix":""},{"dropping-particle":"","family":"Ashtiani","given":"Mohammad Kazemi","non-dropping-particle":"","parse-names":false,"suffix":""}],"container-title":"Macromolecular Materials and Engineering","id":"ITEM-1","issue":"4","issued":{"date-parts":[["2020"]]},"page":"1-13","title":"Amylopectin Multiple Aldehyde Crosslinked Hydrogel as an Injectable and Self-Healing Cell Carrier for Bone Tissue Engineering","type":"article-journal","volume":"305"},"uris":["http://www.mendeley.com/documents/?uuid=a4efc2a1-3640-40fe-97a3-b0c6a83fe09e"]},{"id":"ITEM-2","itemData":{"DOI":"10.1016/j.carbpol.2009.08.005","ISSN":"01448617","abstract":"Dialdehyde starch (DAS) is prepared by periodate oxidation of st</w:instrText>
      </w:r>
      <w:r>
        <w:rPr>
          <w:rFonts w:cs="Times New Roman"/>
          <w:shd w:val="clear" w:color="auto" w:fill="FAF9F8"/>
        </w:rPr>
        <w:instrText>arch, and DAS with different aldehyde contents is plasticized by glycerol to obtain thermoplastic DAS (TPDAS). DAS is characterized by Fourier transform infrared (FTIR), X-ray diffraction (XRD) and scanning electron microscopy (SEM). The crystalline starch is destroyed and oxidized to form amorphous DAS, while amorphous starch inside of starch granules is degraded. As a result, DAS containing 93.05% aldehyde content formes a ring shape. Compared to thermoplastic native starch, the re-</w:instrText>
      </w:r>
      <w:r w:rsidRPr="005A19C2">
        <w:rPr>
          <w:rFonts w:cs="Times New Roman"/>
          <w:shd w:val="clear" w:color="auto" w:fill="FAF9F8"/>
          <w:lang w:val="en-US"/>
        </w:rPr>
        <w:instrText>crystallization of DAS can not take place in TPDAS during the storage period, because periodate oxidation has destroyed the crystallization of starch. With the increasing of aldehyde contents of DAS, the tensile strength and the resistance of both moisture absorption and water vapor permeability of TPDAS are improved. It is ascribed to the cross-linking of aldehyde groups in TPDAS. © 2009 Elsevier Ltd. All rights reserved.","author":[{"dropping-particle":"","family":"Yu","given":"Jiugao","non-dropping-particle":"","parse-names":false,"suffix":""},{"dropping-particle":"","family":"Chang","given":"Peter R.","non-dropping-particle":"","parse-names":false,"suffix":""},{"dropping-particle":"","family":"Ma","given":"Xiaofei","non-dropping-particle":"","parse-names":false,"suffix":""}],"container-title":"Carbohydrate Polymers","id":"ITEM-2","issue":"2","issued":{"date-parts":[["2010"]]},"page":"296-300","publisher":"Elsevier Ltd","title":"The preparation and properties of dialdehyde starch and thermoplastic dialdehyde starch","type":"article-journal","volume":"79"},"uris":["http://www.mendeley.com/documents/?uuid=3ee14878-a2d3-4e0b-a143-36330270f3b4"]}],"mendeley":{"formattedCitation":"(Vahedi et al., 2020; Yu et al., 2010)","plainTextFormattedCitation":"(Vahedi et al., 2020; Yu et al., 2010)","previouslyFormattedCitation":"(Vahedi et al., 2020; Yu et al., 2010)"},"properties":{"noteIndex":0},"schema":"https://github.com/citation-style-language/schema/raw/master/csl-citation.json"}</w:instrText>
      </w:r>
      <w:r w:rsidRPr="00784932">
        <w:rPr>
          <w:rFonts w:cs="Times New Roman"/>
          <w:shd w:val="clear" w:color="auto" w:fill="FAF9F8"/>
        </w:rPr>
        <w:fldChar w:fldCharType="separate"/>
      </w:r>
      <w:r w:rsidRPr="005A19C2">
        <w:rPr>
          <w:rFonts w:cs="Times New Roman"/>
          <w:noProof/>
          <w:shd w:val="clear" w:color="auto" w:fill="FAF9F8"/>
          <w:lang w:val="en-US"/>
        </w:rPr>
        <w:t>(Vahedi et al., 2020; Yu et al., 2010)</w:t>
      </w:r>
      <w:r w:rsidRPr="00784932">
        <w:rPr>
          <w:rFonts w:cs="Times New Roman"/>
          <w:shd w:val="clear" w:color="auto" w:fill="FAF9F8"/>
        </w:rPr>
        <w:fldChar w:fldCharType="end"/>
      </w:r>
      <w:r w:rsidRPr="005A19C2">
        <w:rPr>
          <w:rFonts w:cs="Times New Roman"/>
          <w:shd w:val="clear" w:color="auto" w:fill="FAF9F8"/>
          <w:lang w:val="en-US"/>
        </w:rPr>
        <w:t xml:space="preserve">. Briefly, DCS (0.2 g) was added to 25 mL of 0.25 M hydroxylamine hydrochloride solution at 50 °C for 3 h by magnetic stirring. The pH was adjusted to 5 with 0.1 M NaOH solution (V </w:t>
      </w:r>
      <w:r w:rsidRPr="005A19C2">
        <w:rPr>
          <w:rFonts w:cs="Times New Roman"/>
          <w:shd w:val="clear" w:color="auto" w:fill="FAF9F8"/>
          <w:vertAlign w:val="subscript"/>
          <w:lang w:val="en-US"/>
        </w:rPr>
        <w:t>sample</w:t>
      </w:r>
      <w:r w:rsidRPr="005A19C2">
        <w:rPr>
          <w:rFonts w:cs="Times New Roman"/>
          <w:shd w:val="clear" w:color="auto" w:fill="FAF9F8"/>
          <w:lang w:val="en-US"/>
        </w:rPr>
        <w:t xml:space="preserve">, mL), and the volumes added during the reaction were recorded. The same reaction was also carried out for pure starch, as a control, to determine the volume of NaOH solution (V </w:t>
      </w:r>
      <w:r w:rsidRPr="005A19C2">
        <w:rPr>
          <w:rFonts w:cs="Times New Roman"/>
          <w:shd w:val="clear" w:color="auto" w:fill="FAF9F8"/>
          <w:vertAlign w:val="subscript"/>
          <w:lang w:val="en-US"/>
        </w:rPr>
        <w:t>control</w:t>
      </w:r>
      <w:r w:rsidRPr="005A19C2">
        <w:rPr>
          <w:rFonts w:cs="Times New Roman"/>
          <w:shd w:val="clear" w:color="auto" w:fill="FAF9F8"/>
          <w:lang w:val="en-US"/>
        </w:rPr>
        <w:t>, mL) to keep the pH constant at 5. Finally, the aldehyde content of DCS was determined by the following equation (1) as moles of aldehyde per 1 g of DCS sample:</w:t>
      </w:r>
    </w:p>
    <w:p w14:paraId="30095A5E" w14:textId="2694F38B" w:rsidR="00B30533" w:rsidRPr="004E3328" w:rsidRDefault="004E3092" w:rsidP="004E3328">
      <w:pPr>
        <w:pStyle w:val="ListParagraph"/>
        <w:spacing w:line="480" w:lineRule="auto"/>
        <w:rPr>
          <w:rFonts w:ascii="Times New Roman" w:eastAsiaTheme="minorEastAsia" w:hAnsi="Times New Roman" w:cs="Times New Roman"/>
          <w:bCs/>
          <w:i/>
          <w:shd w:val="clear" w:color="auto" w:fill="FAF9F8"/>
        </w:rPr>
      </w:pPr>
      <m:oMath>
        <m:f>
          <m:fPr>
            <m:ctrlPr>
              <w:rPr>
                <w:rFonts w:ascii="Cambria Math" w:hAnsi="Cambria Math" w:cs="Times New Roman"/>
                <w:bCs/>
                <w:i/>
                <w:shd w:val="clear" w:color="auto" w:fill="FAF9F8"/>
              </w:rPr>
            </m:ctrlPr>
          </m:fPr>
          <m:num>
            <m:r>
              <w:rPr>
                <w:rFonts w:ascii="Cambria Math" w:hAnsi="Cambria Math" w:cs="Times New Roman"/>
                <w:shd w:val="clear" w:color="auto" w:fill="FAF9F8"/>
              </w:rPr>
              <m:t>CHO(mol)</m:t>
            </m:r>
          </m:num>
          <m:den>
            <m:r>
              <w:rPr>
                <w:rFonts w:ascii="Cambria Math" w:hAnsi="Cambria Math" w:cs="Times New Roman"/>
                <w:shd w:val="clear" w:color="auto" w:fill="FAF9F8"/>
              </w:rPr>
              <m:t>1g sample</m:t>
            </m:r>
          </m:den>
        </m:f>
        <m:r>
          <w:rPr>
            <w:rFonts w:ascii="Cambria Math" w:hAnsi="Cambria Math" w:cs="Times New Roman"/>
            <w:shd w:val="clear" w:color="auto" w:fill="FAF9F8"/>
          </w:rPr>
          <m:t>=</m:t>
        </m:r>
        <m:f>
          <m:fPr>
            <m:ctrlPr>
              <w:rPr>
                <w:rFonts w:ascii="Cambria Math" w:hAnsi="Cambria Math" w:cs="Times New Roman"/>
                <w:bCs/>
                <w:i/>
                <w:shd w:val="clear" w:color="auto" w:fill="FAF9F8"/>
              </w:rPr>
            </m:ctrlPr>
          </m:fPr>
          <m:num>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M</m:t>
                </m:r>
              </m:e>
              <m:sub>
                <m:r>
                  <w:rPr>
                    <w:rFonts w:ascii="Cambria Math" w:hAnsi="Cambria Math" w:cs="Times New Roman"/>
                    <w:shd w:val="clear" w:color="auto" w:fill="FAF9F8"/>
                  </w:rPr>
                  <m:t>NaOH</m:t>
                </m:r>
              </m:sub>
            </m:sSub>
            <m:r>
              <w:rPr>
                <w:rFonts w:ascii="Cambria Math" w:hAnsi="Cambria Math" w:cs="Times New Roman"/>
                <w:shd w:val="clear" w:color="auto" w:fill="FAF9F8"/>
              </w:rPr>
              <m:t xml:space="preserve"> x </m:t>
            </m:r>
            <m:d>
              <m:dPr>
                <m:endChr m:val=""/>
                <m:ctrlPr>
                  <w:rPr>
                    <w:rFonts w:ascii="Cambria Math" w:hAnsi="Cambria Math" w:cs="Times New Roman"/>
                    <w:bCs/>
                    <w:i/>
                    <w:shd w:val="clear" w:color="auto" w:fill="FAF9F8"/>
                  </w:rPr>
                </m:ctrlPr>
              </m:dPr>
              <m:e>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V</m:t>
                    </m:r>
                  </m:e>
                  <m:sub>
                    <m:r>
                      <w:rPr>
                        <w:rFonts w:ascii="Cambria Math" w:hAnsi="Cambria Math" w:cs="Times New Roman"/>
                        <w:shd w:val="clear" w:color="auto" w:fill="FAF9F8"/>
                      </w:rPr>
                      <m:t>sample</m:t>
                    </m:r>
                  </m:sub>
                </m:sSub>
              </m:e>
            </m:d>
            <m:r>
              <w:rPr>
                <w:rFonts w:ascii="Cambria Math" w:hAnsi="Cambria Math" w:cs="Times New Roman"/>
                <w:shd w:val="clear" w:color="auto" w:fill="FAF9F8"/>
              </w:rPr>
              <m:t>-</m:t>
            </m:r>
            <m:d>
              <m:dPr>
                <m:begChr m:val=""/>
                <m:ctrlPr>
                  <w:rPr>
                    <w:rFonts w:ascii="Cambria Math" w:hAnsi="Cambria Math" w:cs="Times New Roman"/>
                    <w:bCs/>
                    <w:i/>
                    <w:shd w:val="clear" w:color="auto" w:fill="FAF9F8"/>
                  </w:rPr>
                </m:ctrlPr>
              </m:dPr>
              <m:e>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V</m:t>
                    </m:r>
                  </m:e>
                  <m:sub>
                    <m:r>
                      <w:rPr>
                        <w:rFonts w:ascii="Cambria Math" w:hAnsi="Cambria Math" w:cs="Times New Roman"/>
                        <w:shd w:val="clear" w:color="auto" w:fill="FAF9F8"/>
                      </w:rPr>
                      <m:t>control</m:t>
                    </m:r>
                  </m:sub>
                </m:sSub>
              </m:e>
            </m:d>
          </m:num>
          <m:den>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g</m:t>
                </m:r>
              </m:e>
              <m:sub>
                <m:r>
                  <w:rPr>
                    <w:rFonts w:ascii="Cambria Math" w:hAnsi="Cambria Math" w:cs="Times New Roman"/>
                    <w:shd w:val="clear" w:color="auto" w:fill="FAF9F8"/>
                  </w:rPr>
                  <m:t>sample</m:t>
                </m:r>
              </m:sub>
            </m:sSub>
            <m:r>
              <w:rPr>
                <w:rFonts w:ascii="Cambria Math" w:hAnsi="Cambria Math" w:cs="Times New Roman"/>
                <w:shd w:val="clear" w:color="auto" w:fill="FAF9F8"/>
              </w:rPr>
              <m:t xml:space="preserve"> x 1000</m:t>
            </m:r>
          </m:den>
        </m:f>
        <m:r>
          <w:rPr>
            <w:rFonts w:ascii="Cambria Math" w:hAnsi="Cambria Math" w:cs="Times New Roman"/>
            <w:shd w:val="clear" w:color="auto" w:fill="FAF9F8"/>
          </w:rPr>
          <m:t>=</m:t>
        </m:r>
        <m:f>
          <m:fPr>
            <m:ctrlPr>
              <w:rPr>
                <w:rFonts w:ascii="Cambria Math" w:hAnsi="Cambria Math" w:cs="Times New Roman"/>
                <w:bCs/>
                <w:i/>
                <w:shd w:val="clear" w:color="auto" w:fill="FAF9F8"/>
              </w:rPr>
            </m:ctrlPr>
          </m:fPr>
          <m:num>
            <m:r>
              <w:rPr>
                <w:rFonts w:ascii="Cambria Math" w:hAnsi="Cambria Math" w:cs="Times New Roman"/>
                <w:shd w:val="clear" w:color="auto" w:fill="FAF9F8"/>
              </w:rPr>
              <m:t xml:space="preserve"> 0.1 x </m:t>
            </m:r>
            <m:d>
              <m:dPr>
                <m:endChr m:val=""/>
                <m:ctrlPr>
                  <w:rPr>
                    <w:rFonts w:ascii="Cambria Math" w:hAnsi="Cambria Math" w:cs="Times New Roman"/>
                    <w:bCs/>
                    <w:i/>
                    <w:shd w:val="clear" w:color="auto" w:fill="FAF9F8"/>
                  </w:rPr>
                </m:ctrlPr>
              </m:dPr>
              <m:e>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V</m:t>
                    </m:r>
                  </m:e>
                  <m:sub>
                    <m:r>
                      <w:rPr>
                        <w:rFonts w:ascii="Cambria Math" w:hAnsi="Cambria Math" w:cs="Times New Roman"/>
                        <w:shd w:val="clear" w:color="auto" w:fill="FAF9F8"/>
                      </w:rPr>
                      <m:t>sample</m:t>
                    </m:r>
                  </m:sub>
                </m:sSub>
              </m:e>
            </m:d>
            <m:r>
              <w:rPr>
                <w:rFonts w:ascii="Cambria Math" w:hAnsi="Cambria Math" w:cs="Times New Roman"/>
                <w:shd w:val="clear" w:color="auto" w:fill="FAF9F8"/>
              </w:rPr>
              <m:t>-</m:t>
            </m:r>
            <m:d>
              <m:dPr>
                <m:begChr m:val=""/>
                <m:ctrlPr>
                  <w:rPr>
                    <w:rFonts w:ascii="Cambria Math" w:hAnsi="Cambria Math" w:cs="Times New Roman"/>
                    <w:bCs/>
                    <w:i/>
                    <w:shd w:val="clear" w:color="auto" w:fill="FAF9F8"/>
                  </w:rPr>
                </m:ctrlPr>
              </m:dPr>
              <m:e>
                <m:sSub>
                  <m:sSubPr>
                    <m:ctrlPr>
                      <w:rPr>
                        <w:rFonts w:ascii="Cambria Math" w:hAnsi="Cambria Math" w:cs="Times New Roman"/>
                        <w:bCs/>
                        <w:i/>
                        <w:shd w:val="clear" w:color="auto" w:fill="FAF9F8"/>
                      </w:rPr>
                    </m:ctrlPr>
                  </m:sSubPr>
                  <m:e>
                    <m:r>
                      <w:rPr>
                        <w:rFonts w:ascii="Cambria Math" w:hAnsi="Cambria Math" w:cs="Times New Roman"/>
                        <w:shd w:val="clear" w:color="auto" w:fill="FAF9F8"/>
                      </w:rPr>
                      <m:t>V</m:t>
                    </m:r>
                  </m:e>
                  <m:sub>
                    <m:r>
                      <w:rPr>
                        <w:rFonts w:ascii="Cambria Math" w:hAnsi="Cambria Math" w:cs="Times New Roman"/>
                        <w:shd w:val="clear" w:color="auto" w:fill="FAF9F8"/>
                      </w:rPr>
                      <m:t>control</m:t>
                    </m:r>
                  </m:sub>
                </m:sSub>
              </m:e>
            </m:d>
          </m:num>
          <m:den>
            <m:r>
              <w:rPr>
                <w:rFonts w:ascii="Cambria Math" w:hAnsi="Cambria Math" w:cs="Times New Roman"/>
                <w:shd w:val="clear" w:color="auto" w:fill="FAF9F8"/>
              </w:rPr>
              <m:t>0.2 x 1000</m:t>
            </m:r>
          </m:den>
        </m:f>
      </m:oMath>
      <w:r w:rsidR="00431C60">
        <w:rPr>
          <w:rFonts w:ascii="Times New Roman" w:eastAsiaTheme="minorEastAsia" w:hAnsi="Times New Roman" w:cs="Times New Roman"/>
          <w:bCs/>
          <w:i/>
          <w:shd w:val="clear" w:color="auto" w:fill="FAF9F8"/>
        </w:rPr>
        <w:t xml:space="preserve">                   </w:t>
      </w:r>
      <w:r w:rsidR="00431C60" w:rsidRPr="00BB0DEB">
        <w:rPr>
          <w:rFonts w:ascii="Times New Roman" w:eastAsiaTheme="minorEastAsia" w:hAnsi="Times New Roman" w:cs="Times New Roman"/>
          <w:bCs/>
          <w:iCs/>
          <w:shd w:val="clear" w:color="auto" w:fill="FAF9F8"/>
        </w:rPr>
        <w:t>(1)</w:t>
      </w:r>
      <w:r w:rsidR="00431C60">
        <w:rPr>
          <w:rFonts w:ascii="Times New Roman" w:eastAsiaTheme="minorEastAsia" w:hAnsi="Times New Roman" w:cs="Times New Roman"/>
          <w:bCs/>
          <w:i/>
          <w:shd w:val="clear" w:color="auto" w:fill="FAF9F8"/>
        </w:rPr>
        <w:t xml:space="preserve">            </w:t>
      </w:r>
    </w:p>
    <w:p w14:paraId="336ECCE6" w14:textId="091FC12A" w:rsidR="00C462B5" w:rsidRPr="007337E3" w:rsidRDefault="00C71030" w:rsidP="00C462B5">
      <w:pPr>
        <w:jc w:val="center"/>
        <w:rPr>
          <w:rFonts w:asciiTheme="minorHAnsi" w:hAnsiTheme="minorHAnsi" w:cstheme="minorHAnsi"/>
          <w:b/>
          <w:sz w:val="24"/>
          <w:szCs w:val="24"/>
          <w:lang w:val="en-US"/>
        </w:rPr>
      </w:pPr>
      <w:r>
        <w:rPr>
          <w:noProof/>
          <w:lang w:val="en-US"/>
        </w:rPr>
        <w:lastRenderedPageBreak/>
        <w:drawing>
          <wp:inline distT="0" distB="0" distL="0" distR="0" wp14:anchorId="42B69010" wp14:editId="50D42721">
            <wp:extent cx="2914744" cy="3583363"/>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t="5920"/>
                    <a:stretch/>
                  </pic:blipFill>
                  <pic:spPr bwMode="auto">
                    <a:xfrm>
                      <a:off x="0" y="0"/>
                      <a:ext cx="2923772" cy="3594462"/>
                    </a:xfrm>
                    <a:prstGeom prst="rect">
                      <a:avLst/>
                    </a:prstGeom>
                    <a:noFill/>
                    <a:ln>
                      <a:noFill/>
                    </a:ln>
                    <a:extLst>
                      <a:ext uri="{53640926-AAD7-44D8-BBD7-CCE9431645EC}">
                        <a14:shadowObscured xmlns:a14="http://schemas.microsoft.com/office/drawing/2010/main"/>
                      </a:ext>
                    </a:extLst>
                  </pic:spPr>
                </pic:pic>
              </a:graphicData>
            </a:graphic>
          </wp:inline>
        </w:drawing>
      </w:r>
    </w:p>
    <w:p w14:paraId="5E58D514" w14:textId="3E7FAACF" w:rsidR="00C71030" w:rsidRDefault="00E65D35" w:rsidP="00EA1CF2">
      <w:pPr>
        <w:rPr>
          <w:rFonts w:cs="Times New Roman"/>
          <w:lang w:val="en-US"/>
        </w:rPr>
      </w:pPr>
      <w:r w:rsidRPr="00DE5E97">
        <w:rPr>
          <w:rFonts w:cs="Times New Roman"/>
          <w:lang w:val="en-US"/>
        </w:rPr>
        <w:t>Fig</w:t>
      </w:r>
      <w:r w:rsidR="00DE5E97" w:rsidRPr="00DE5E97">
        <w:rPr>
          <w:rFonts w:cs="Times New Roman"/>
          <w:lang w:val="en-US"/>
        </w:rPr>
        <w:t>ure</w:t>
      </w:r>
      <w:r w:rsidRPr="00DE5E97">
        <w:rPr>
          <w:rFonts w:cs="Times New Roman"/>
          <w:lang w:val="en-US"/>
        </w:rPr>
        <w:t xml:space="preserve"> </w:t>
      </w:r>
      <w:r w:rsidR="004E522E">
        <w:rPr>
          <w:rFonts w:cs="Times New Roman"/>
          <w:lang w:val="en-US"/>
        </w:rPr>
        <w:t>S</w:t>
      </w:r>
      <w:r w:rsidR="000D4B2B">
        <w:rPr>
          <w:rFonts w:cs="Times New Roman"/>
          <w:lang w:val="en-US"/>
        </w:rPr>
        <w:t>3</w:t>
      </w:r>
      <w:r w:rsidR="00C462B5" w:rsidRPr="00DE5E97">
        <w:rPr>
          <w:rFonts w:cs="Times New Roman"/>
          <w:lang w:val="en-US"/>
        </w:rPr>
        <w:t xml:space="preserve">. </w:t>
      </w:r>
      <w:r w:rsidR="00BB5734">
        <w:rPr>
          <w:rFonts w:cs="Times New Roman"/>
          <w:lang w:val="en-US"/>
        </w:rPr>
        <w:t>(A)</w:t>
      </w:r>
      <w:r w:rsidR="00BB5734" w:rsidRPr="00DE5E97">
        <w:rPr>
          <w:rFonts w:cs="Times New Roman"/>
          <w:lang w:val="en-US"/>
        </w:rPr>
        <w:t xml:space="preserve"> </w:t>
      </w:r>
      <w:r w:rsidRPr="00DE5E97">
        <w:rPr>
          <w:rFonts w:cs="Times New Roman"/>
          <w:lang w:val="en-US"/>
        </w:rPr>
        <w:t xml:space="preserve">FTIR spectra of native </w:t>
      </w:r>
      <w:r w:rsidR="00577A65" w:rsidRPr="00DE5E97">
        <w:rPr>
          <w:rFonts w:cs="Times New Roman"/>
          <w:lang w:val="en-US"/>
        </w:rPr>
        <w:t>corn</w:t>
      </w:r>
      <w:r w:rsidRPr="00DE5E97">
        <w:rPr>
          <w:rFonts w:cs="Times New Roman"/>
          <w:lang w:val="en-US"/>
        </w:rPr>
        <w:t xml:space="preserve"> starch and oxidized starch</w:t>
      </w:r>
      <w:r w:rsidR="00F4632F" w:rsidRPr="00DE5E97">
        <w:rPr>
          <w:rFonts w:cs="Times New Roman"/>
          <w:lang w:val="en-US"/>
        </w:rPr>
        <w:t xml:space="preserve"> (dialdehyde corn starch, DCS)</w:t>
      </w:r>
      <w:r w:rsidR="00BB5734">
        <w:rPr>
          <w:rFonts w:cs="Times New Roman"/>
          <w:lang w:val="en-US"/>
        </w:rPr>
        <w:t xml:space="preserve"> </w:t>
      </w:r>
      <w:r w:rsidRPr="00DE5E97">
        <w:rPr>
          <w:rFonts w:cs="Times New Roman"/>
          <w:lang w:val="en-US"/>
        </w:rPr>
        <w:t xml:space="preserve">For </w:t>
      </w:r>
      <w:r w:rsidR="00F4632F" w:rsidRPr="00DE5E97">
        <w:rPr>
          <w:rFonts w:cs="Times New Roman"/>
          <w:lang w:val="en-US"/>
        </w:rPr>
        <w:t>DCS</w:t>
      </w:r>
      <w:r w:rsidRPr="00DE5E97">
        <w:rPr>
          <w:rFonts w:cs="Times New Roman"/>
          <w:lang w:val="en-US"/>
        </w:rPr>
        <w:t xml:space="preserve"> a new peak is observed at 17</w:t>
      </w:r>
      <w:r w:rsidR="00DD2E23" w:rsidRPr="00DE5E97">
        <w:rPr>
          <w:rFonts w:cs="Times New Roman"/>
          <w:lang w:val="en-US"/>
        </w:rPr>
        <w:t>30</w:t>
      </w:r>
      <w:r w:rsidRPr="00DE5E97">
        <w:rPr>
          <w:rFonts w:cs="Times New Roman"/>
          <w:lang w:val="en-US"/>
        </w:rPr>
        <w:t xml:space="preserve"> cm</w:t>
      </w:r>
      <w:r w:rsidRPr="00DE5E97">
        <w:rPr>
          <w:rFonts w:cs="Times New Roman"/>
          <w:vertAlign w:val="superscript"/>
          <w:lang w:val="en-US"/>
        </w:rPr>
        <w:t>-1</w:t>
      </w:r>
      <w:r w:rsidRPr="00DE5E97">
        <w:rPr>
          <w:rFonts w:cs="Times New Roman"/>
          <w:lang w:val="en-US"/>
        </w:rPr>
        <w:t>, characteristic for C=O group of the dialdehyde product of the OH groups oxidation process</w:t>
      </w:r>
      <w:r w:rsidR="00B30533">
        <w:rPr>
          <w:rFonts w:cs="Times New Roman"/>
          <w:lang w:val="en-US"/>
        </w:rPr>
        <w:t xml:space="preserve"> </w:t>
      </w:r>
      <w:r w:rsidR="00B30533">
        <w:rPr>
          <w:rFonts w:cs="Times New Roman"/>
          <w:lang w:val="en-US"/>
        </w:rPr>
        <w:fldChar w:fldCharType="begin"/>
      </w:r>
      <w:r w:rsidR="00B30533">
        <w:rPr>
          <w:rFonts w:cs="Times New Roman"/>
          <w:lang w:val="en-US"/>
        </w:rPr>
        <w:instrText xml:space="preserve"> ADDIN EN.CITE &lt;EndNote&gt;&lt;Cite&gt;&lt;Author&gt;Zhang&lt;/Author&gt;&lt;Year&gt;2011&lt;/Year&gt;&lt;RecNum&gt;762&lt;/RecNum&gt;&lt;DisplayText&gt;(Zhang, Liu, Wang, &amp;amp; Gao, 2011)&lt;/DisplayText&gt;&lt;record&gt;&lt;rec-number&gt;762&lt;/rec-number&gt;&lt;foreign-keys&gt;&lt;key app="EN" db-id="9zzetp09r5dw9gex0dmxepadvxxa2rtdxe0v" timestamp="1726247041"&gt;762&lt;/key&gt;&lt;/foreign-keys&gt;&lt;ref-type name="Journal Article"&gt;17&lt;/ref-type&gt;&lt;contributors&gt;&lt;authors&gt;&lt;author&gt;Zhang, Liming&lt;/author&gt;&lt;author&gt;Liu, Peng&lt;/author&gt;&lt;author&gt;Wang, Yugao&lt;/author&gt;&lt;author&gt;Gao, Wenyuan&lt;/author&gt;&lt;/authors&gt;&lt;/contributors&gt;&lt;titles&gt;&lt;title&gt;Study on physico-chemical properties of dialdehyde yam starch with different aldehyde group contents&lt;/title&gt;&lt;secondary-title&gt;Thermochimica Acta&lt;/secondary-title&gt;&lt;/titles&gt;&lt;periodical&gt;&lt;full-title&gt;Thermochimica Acta&lt;/full-title&gt;&lt;/periodical&gt;&lt;pages&gt;196-201&lt;/pages&gt;&lt;volume&gt;512&lt;/volume&gt;&lt;number&gt;1-2&lt;/number&gt;&lt;section&gt;196&lt;/section&gt;&lt;dates&gt;&lt;year&gt;2011&lt;/year&gt;&lt;/dates&gt;&lt;isbn&gt;00406031&lt;/isbn&gt;&lt;urls&gt;&lt;/urls&gt;&lt;electronic-resource-num&gt;10.1016/j.tca.2010.10.006&lt;/electronic-resource-num&gt;&lt;/record&gt;&lt;/Cite&gt;&lt;/EndNote&gt;</w:instrText>
      </w:r>
      <w:r w:rsidR="00B30533">
        <w:rPr>
          <w:rFonts w:cs="Times New Roman"/>
          <w:lang w:val="en-US"/>
        </w:rPr>
        <w:fldChar w:fldCharType="separate"/>
      </w:r>
      <w:r w:rsidR="00B30533">
        <w:rPr>
          <w:rFonts w:cs="Times New Roman"/>
          <w:noProof/>
          <w:lang w:val="en-US"/>
        </w:rPr>
        <w:t>(Zhang, Liu, Wang, &amp; Gao, 2011)</w:t>
      </w:r>
      <w:r w:rsidR="00B30533">
        <w:rPr>
          <w:rFonts w:cs="Times New Roman"/>
          <w:lang w:val="en-US"/>
        </w:rPr>
        <w:fldChar w:fldCharType="end"/>
      </w:r>
      <w:r w:rsidR="00B30533">
        <w:rPr>
          <w:rFonts w:cs="Times New Roman"/>
          <w:lang w:val="en-US"/>
        </w:rPr>
        <w:t>.</w:t>
      </w:r>
    </w:p>
    <w:p w14:paraId="34FD41B0" w14:textId="16ABF814" w:rsidR="009C0A6C" w:rsidRPr="00DE5E97" w:rsidRDefault="009C0A6C" w:rsidP="00EA1CF2">
      <w:pPr>
        <w:rPr>
          <w:rFonts w:cs="Times New Roman"/>
          <w:lang w:val="en-US"/>
        </w:rPr>
      </w:pPr>
      <w:r w:rsidRPr="00DE5E97">
        <w:rPr>
          <w:rFonts w:cs="Times New Roman"/>
          <w:lang w:val="en-US"/>
        </w:rPr>
        <w:t xml:space="preserve">Table </w:t>
      </w:r>
      <w:r w:rsidR="004E522E">
        <w:rPr>
          <w:rFonts w:cs="Times New Roman"/>
          <w:lang w:val="en-US"/>
        </w:rPr>
        <w:t>S1</w:t>
      </w:r>
      <w:r w:rsidRPr="00DE5E97">
        <w:rPr>
          <w:rFonts w:cs="Times New Roman"/>
          <w:lang w:val="en-US"/>
        </w:rPr>
        <w:t xml:space="preserve">. </w:t>
      </w:r>
      <w:r w:rsidR="009F400E" w:rsidRPr="00DE5E97">
        <w:rPr>
          <w:rFonts w:cs="Times New Roman"/>
          <w:lang w:val="en-US"/>
        </w:rPr>
        <w:t>Self-recovery values of the hydrogels after low (1%) and high (100%) strain cycles with respect to the initial values of G'.</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07"/>
        <w:gridCol w:w="2207"/>
        <w:gridCol w:w="2207"/>
        <w:gridCol w:w="2207"/>
      </w:tblGrid>
      <w:tr w:rsidR="009C0A6C" w:rsidRPr="00BB0DE0" w14:paraId="4F16142D" w14:textId="77777777" w:rsidTr="00B708A9">
        <w:tc>
          <w:tcPr>
            <w:tcW w:w="2207" w:type="dxa"/>
            <w:vMerge w:val="restart"/>
            <w:tcBorders>
              <w:top w:val="single" w:sz="4" w:space="0" w:color="auto"/>
            </w:tcBorders>
            <w:vAlign w:val="center"/>
          </w:tcPr>
          <w:p w14:paraId="65DA808D" w14:textId="77777777" w:rsidR="009C0A6C" w:rsidRPr="00BB0DE0" w:rsidRDefault="009C0A6C" w:rsidP="009C0A6C">
            <w:pPr>
              <w:spacing w:line="240" w:lineRule="auto"/>
              <w:jc w:val="center"/>
              <w:rPr>
                <w:rFonts w:cs="Times New Roman"/>
                <w:lang w:val="en-US"/>
              </w:rPr>
            </w:pPr>
            <w:r w:rsidRPr="00BB0DE0">
              <w:rPr>
                <w:rFonts w:cs="Times New Roman"/>
                <w:lang w:val="en-US"/>
              </w:rPr>
              <w:t>Samples</w:t>
            </w:r>
          </w:p>
        </w:tc>
        <w:tc>
          <w:tcPr>
            <w:tcW w:w="6621" w:type="dxa"/>
            <w:gridSpan w:val="3"/>
            <w:tcBorders>
              <w:top w:val="single" w:sz="4" w:space="0" w:color="auto"/>
              <w:bottom w:val="single" w:sz="4" w:space="0" w:color="auto"/>
            </w:tcBorders>
            <w:vAlign w:val="center"/>
          </w:tcPr>
          <w:p w14:paraId="0A829836" w14:textId="555BE75D" w:rsidR="009C0A6C" w:rsidRPr="00BB0DE0" w:rsidRDefault="009C0A6C" w:rsidP="009C0A6C">
            <w:pPr>
              <w:spacing w:line="240" w:lineRule="auto"/>
              <w:jc w:val="center"/>
              <w:rPr>
                <w:rFonts w:cs="Times New Roman"/>
                <w:lang w:val="en-US"/>
              </w:rPr>
            </w:pPr>
            <w:r w:rsidRPr="00BB0DE0">
              <w:rPr>
                <w:rFonts w:cs="Times New Roman"/>
                <w:lang w:val="en-US"/>
              </w:rPr>
              <w:t>Recovery respect to first cycle (%)</w:t>
            </w:r>
          </w:p>
        </w:tc>
      </w:tr>
      <w:tr w:rsidR="009C0A6C" w:rsidRPr="00BB0DE0" w14:paraId="6C6608E4" w14:textId="77777777" w:rsidTr="00B708A9">
        <w:tc>
          <w:tcPr>
            <w:tcW w:w="2207" w:type="dxa"/>
            <w:vMerge/>
            <w:tcBorders>
              <w:bottom w:val="single" w:sz="4" w:space="0" w:color="auto"/>
            </w:tcBorders>
            <w:vAlign w:val="center"/>
          </w:tcPr>
          <w:p w14:paraId="1D10E3E8" w14:textId="77777777" w:rsidR="009C0A6C" w:rsidRPr="00BB0DE0" w:rsidRDefault="009C0A6C" w:rsidP="009C0A6C">
            <w:pPr>
              <w:spacing w:line="240" w:lineRule="auto"/>
              <w:jc w:val="center"/>
              <w:rPr>
                <w:rFonts w:cs="Times New Roman"/>
                <w:lang w:val="en-US"/>
              </w:rPr>
            </w:pPr>
          </w:p>
        </w:tc>
        <w:tc>
          <w:tcPr>
            <w:tcW w:w="2207" w:type="dxa"/>
            <w:tcBorders>
              <w:top w:val="single" w:sz="4" w:space="0" w:color="auto"/>
              <w:bottom w:val="single" w:sz="4" w:space="0" w:color="auto"/>
            </w:tcBorders>
            <w:vAlign w:val="center"/>
          </w:tcPr>
          <w:p w14:paraId="2C0401CA" w14:textId="77777777" w:rsidR="009C0A6C" w:rsidRPr="00BB0DE0" w:rsidRDefault="009C0A6C" w:rsidP="009C0A6C">
            <w:pPr>
              <w:spacing w:line="240" w:lineRule="auto"/>
              <w:jc w:val="center"/>
              <w:rPr>
                <w:rFonts w:cs="Times New Roman"/>
                <w:lang w:val="en-US"/>
              </w:rPr>
            </w:pPr>
            <w:r w:rsidRPr="00BB0DE0">
              <w:rPr>
                <w:rFonts w:cs="Times New Roman"/>
                <w:lang w:val="en-US"/>
              </w:rPr>
              <w:t>Cycle 2</w:t>
            </w:r>
          </w:p>
        </w:tc>
        <w:tc>
          <w:tcPr>
            <w:tcW w:w="2207" w:type="dxa"/>
            <w:tcBorders>
              <w:top w:val="single" w:sz="4" w:space="0" w:color="auto"/>
              <w:bottom w:val="single" w:sz="4" w:space="0" w:color="auto"/>
            </w:tcBorders>
            <w:vAlign w:val="center"/>
          </w:tcPr>
          <w:p w14:paraId="30C5794D" w14:textId="77777777" w:rsidR="009C0A6C" w:rsidRPr="00BB0DE0" w:rsidRDefault="009C0A6C" w:rsidP="009C0A6C">
            <w:pPr>
              <w:spacing w:line="240" w:lineRule="auto"/>
              <w:jc w:val="center"/>
              <w:rPr>
                <w:rFonts w:cs="Times New Roman"/>
                <w:lang w:val="en-US"/>
              </w:rPr>
            </w:pPr>
            <w:r w:rsidRPr="00BB0DE0">
              <w:rPr>
                <w:rFonts w:cs="Times New Roman"/>
                <w:lang w:val="en-US"/>
              </w:rPr>
              <w:t>Cycle 3</w:t>
            </w:r>
          </w:p>
        </w:tc>
        <w:tc>
          <w:tcPr>
            <w:tcW w:w="2207" w:type="dxa"/>
            <w:tcBorders>
              <w:top w:val="single" w:sz="4" w:space="0" w:color="auto"/>
              <w:bottom w:val="single" w:sz="4" w:space="0" w:color="auto"/>
            </w:tcBorders>
            <w:vAlign w:val="center"/>
          </w:tcPr>
          <w:p w14:paraId="22CB4D6D" w14:textId="77777777" w:rsidR="009C0A6C" w:rsidRPr="00BB0DE0" w:rsidRDefault="009C0A6C" w:rsidP="009C0A6C">
            <w:pPr>
              <w:spacing w:line="240" w:lineRule="auto"/>
              <w:jc w:val="center"/>
              <w:rPr>
                <w:rFonts w:cs="Times New Roman"/>
                <w:lang w:val="en-US"/>
              </w:rPr>
            </w:pPr>
            <w:r w:rsidRPr="00BB0DE0">
              <w:rPr>
                <w:rFonts w:cs="Times New Roman"/>
                <w:lang w:val="en-US"/>
              </w:rPr>
              <w:t>Cycle 4</w:t>
            </w:r>
          </w:p>
        </w:tc>
      </w:tr>
      <w:tr w:rsidR="009C0A6C" w:rsidRPr="00BB0DE0" w14:paraId="1CE1ED5C" w14:textId="77777777" w:rsidTr="00B708A9">
        <w:tc>
          <w:tcPr>
            <w:tcW w:w="2207" w:type="dxa"/>
            <w:tcBorders>
              <w:top w:val="single" w:sz="4" w:space="0" w:color="auto"/>
            </w:tcBorders>
            <w:vAlign w:val="center"/>
          </w:tcPr>
          <w:p w14:paraId="216FF8CF" w14:textId="77777777" w:rsidR="009C0A6C" w:rsidRPr="00BB0DE0" w:rsidRDefault="009C0A6C" w:rsidP="009C0A6C">
            <w:pPr>
              <w:spacing w:line="240" w:lineRule="auto"/>
              <w:jc w:val="center"/>
              <w:rPr>
                <w:rFonts w:cs="Times New Roman"/>
                <w:lang w:val="en-US"/>
              </w:rPr>
            </w:pPr>
            <w:r w:rsidRPr="00BB0DE0">
              <w:rPr>
                <w:rFonts w:eastAsia="Calibri" w:cs="Times New Roman"/>
                <w:lang w:eastAsia="es-CL"/>
              </w:rPr>
              <w:t>H-0</w:t>
            </w:r>
          </w:p>
        </w:tc>
        <w:tc>
          <w:tcPr>
            <w:tcW w:w="2207" w:type="dxa"/>
            <w:tcBorders>
              <w:top w:val="single" w:sz="4" w:space="0" w:color="auto"/>
            </w:tcBorders>
            <w:vAlign w:val="center"/>
          </w:tcPr>
          <w:p w14:paraId="5FA8D8EA" w14:textId="77777777" w:rsidR="009C0A6C" w:rsidRPr="00BB0DE0" w:rsidRDefault="009C0A6C" w:rsidP="009C0A6C">
            <w:pPr>
              <w:tabs>
                <w:tab w:val="center" w:pos="995"/>
              </w:tabs>
              <w:spacing w:line="240" w:lineRule="auto"/>
              <w:jc w:val="center"/>
              <w:rPr>
                <w:rFonts w:cs="Times New Roman"/>
                <w:lang w:val="en-US"/>
              </w:rPr>
            </w:pPr>
            <w:r w:rsidRPr="00BB0DE0">
              <w:rPr>
                <w:rFonts w:cs="Times New Roman"/>
                <w:lang w:val="en-US"/>
              </w:rPr>
              <w:t>83</w:t>
            </w:r>
          </w:p>
        </w:tc>
        <w:tc>
          <w:tcPr>
            <w:tcW w:w="2207" w:type="dxa"/>
            <w:tcBorders>
              <w:top w:val="single" w:sz="4" w:space="0" w:color="auto"/>
            </w:tcBorders>
            <w:vAlign w:val="center"/>
          </w:tcPr>
          <w:p w14:paraId="6B96804B" w14:textId="77777777" w:rsidR="009C0A6C" w:rsidRPr="00BB0DE0" w:rsidRDefault="009C0A6C" w:rsidP="009C0A6C">
            <w:pPr>
              <w:spacing w:line="240" w:lineRule="auto"/>
              <w:jc w:val="center"/>
              <w:rPr>
                <w:rFonts w:cs="Times New Roman"/>
                <w:lang w:val="en-US"/>
              </w:rPr>
            </w:pPr>
            <w:r w:rsidRPr="00BB0DE0">
              <w:rPr>
                <w:rFonts w:cs="Times New Roman"/>
                <w:lang w:val="en-US"/>
              </w:rPr>
              <w:t>72</w:t>
            </w:r>
          </w:p>
        </w:tc>
        <w:tc>
          <w:tcPr>
            <w:tcW w:w="2207" w:type="dxa"/>
            <w:tcBorders>
              <w:top w:val="single" w:sz="4" w:space="0" w:color="auto"/>
            </w:tcBorders>
            <w:vAlign w:val="center"/>
          </w:tcPr>
          <w:p w14:paraId="07C49DAF" w14:textId="77777777" w:rsidR="009C0A6C" w:rsidRPr="00BB0DE0" w:rsidRDefault="009C0A6C" w:rsidP="009C0A6C">
            <w:pPr>
              <w:spacing w:line="240" w:lineRule="auto"/>
              <w:jc w:val="center"/>
              <w:rPr>
                <w:rFonts w:cs="Times New Roman"/>
                <w:lang w:val="en-US"/>
              </w:rPr>
            </w:pPr>
            <w:r w:rsidRPr="00BB0DE0">
              <w:rPr>
                <w:rFonts w:cs="Times New Roman"/>
                <w:lang w:val="en-US"/>
              </w:rPr>
              <w:t>73</w:t>
            </w:r>
          </w:p>
        </w:tc>
      </w:tr>
      <w:tr w:rsidR="009C0A6C" w:rsidRPr="00BB0DE0" w14:paraId="46BDF9E5" w14:textId="77777777" w:rsidTr="00B708A9">
        <w:tc>
          <w:tcPr>
            <w:tcW w:w="2207" w:type="dxa"/>
            <w:vAlign w:val="center"/>
          </w:tcPr>
          <w:p w14:paraId="225BB166" w14:textId="77777777" w:rsidR="009C0A6C" w:rsidRPr="00BB0DE0" w:rsidRDefault="009C0A6C" w:rsidP="009C0A6C">
            <w:pPr>
              <w:spacing w:line="240" w:lineRule="auto"/>
              <w:jc w:val="center"/>
              <w:rPr>
                <w:rFonts w:cs="Times New Roman"/>
                <w:lang w:val="en-US"/>
              </w:rPr>
            </w:pPr>
            <w:r w:rsidRPr="00BB0DE0">
              <w:rPr>
                <w:rFonts w:eastAsia="Calibri" w:cs="Times New Roman"/>
                <w:lang w:eastAsia="es-CL"/>
              </w:rPr>
              <w:t>H-BNNT</w:t>
            </w:r>
          </w:p>
        </w:tc>
        <w:tc>
          <w:tcPr>
            <w:tcW w:w="2207" w:type="dxa"/>
            <w:vAlign w:val="center"/>
          </w:tcPr>
          <w:p w14:paraId="32B15AC4" w14:textId="77777777" w:rsidR="009C0A6C" w:rsidRPr="00BB0DE0" w:rsidRDefault="009C0A6C" w:rsidP="009C0A6C">
            <w:pPr>
              <w:spacing w:line="240" w:lineRule="auto"/>
              <w:jc w:val="center"/>
              <w:rPr>
                <w:rFonts w:cs="Times New Roman"/>
                <w:lang w:val="en-US"/>
              </w:rPr>
            </w:pPr>
            <w:r w:rsidRPr="00BB0DE0">
              <w:rPr>
                <w:rFonts w:cs="Times New Roman"/>
                <w:lang w:val="en-US"/>
              </w:rPr>
              <w:t>82</w:t>
            </w:r>
          </w:p>
        </w:tc>
        <w:tc>
          <w:tcPr>
            <w:tcW w:w="2207" w:type="dxa"/>
            <w:vAlign w:val="center"/>
          </w:tcPr>
          <w:p w14:paraId="58F3DA55" w14:textId="77777777" w:rsidR="009C0A6C" w:rsidRPr="00BB0DE0" w:rsidRDefault="009C0A6C" w:rsidP="009C0A6C">
            <w:pPr>
              <w:spacing w:line="240" w:lineRule="auto"/>
              <w:jc w:val="center"/>
              <w:rPr>
                <w:rFonts w:cs="Times New Roman"/>
                <w:lang w:val="en-US"/>
              </w:rPr>
            </w:pPr>
            <w:r w:rsidRPr="00BB0DE0">
              <w:rPr>
                <w:rFonts w:cs="Times New Roman"/>
                <w:lang w:val="en-US"/>
              </w:rPr>
              <w:t>83</w:t>
            </w:r>
          </w:p>
        </w:tc>
        <w:tc>
          <w:tcPr>
            <w:tcW w:w="2207" w:type="dxa"/>
            <w:vAlign w:val="center"/>
          </w:tcPr>
          <w:p w14:paraId="1E0BD383" w14:textId="77777777" w:rsidR="009C0A6C" w:rsidRPr="00BB0DE0" w:rsidRDefault="009C0A6C" w:rsidP="009C0A6C">
            <w:pPr>
              <w:spacing w:line="240" w:lineRule="auto"/>
              <w:jc w:val="center"/>
              <w:rPr>
                <w:rFonts w:cs="Times New Roman"/>
                <w:lang w:val="en-US"/>
              </w:rPr>
            </w:pPr>
            <w:r w:rsidRPr="00BB0DE0">
              <w:rPr>
                <w:rFonts w:cs="Times New Roman"/>
                <w:lang w:val="en-US"/>
              </w:rPr>
              <w:t>82</w:t>
            </w:r>
          </w:p>
        </w:tc>
      </w:tr>
      <w:tr w:rsidR="009C0A6C" w:rsidRPr="00BB0DE0" w14:paraId="530C7491" w14:textId="77777777" w:rsidTr="00B708A9">
        <w:tc>
          <w:tcPr>
            <w:tcW w:w="2207" w:type="dxa"/>
            <w:vAlign w:val="center"/>
          </w:tcPr>
          <w:p w14:paraId="01288D9A" w14:textId="7AF7095D" w:rsidR="009C0A6C" w:rsidRPr="00BB0DE0" w:rsidRDefault="009C0A6C" w:rsidP="009C0A6C">
            <w:pPr>
              <w:spacing w:line="240" w:lineRule="auto"/>
              <w:jc w:val="center"/>
              <w:rPr>
                <w:rFonts w:cs="Times New Roman"/>
                <w:lang w:val="en-US"/>
              </w:rPr>
            </w:pPr>
            <w:r w:rsidRPr="00BB0DE0">
              <w:rPr>
                <w:rFonts w:eastAsia="Calibri" w:cs="Times New Roman"/>
                <w:lang w:eastAsia="es-CL"/>
              </w:rPr>
              <w:t>H-BNNT-</w:t>
            </w:r>
            <w:r w:rsidR="00A63E2C" w:rsidRPr="00BB0DE0">
              <w:rPr>
                <w:rFonts w:eastAsia="Calibri" w:cs="Times New Roman"/>
                <w:lang w:eastAsia="es-CL"/>
              </w:rPr>
              <w:t>CO</w:t>
            </w:r>
            <w:r w:rsidRPr="00BB0DE0">
              <w:rPr>
                <w:rFonts w:eastAsia="Calibri" w:cs="Times New Roman"/>
                <w:lang w:eastAsia="es-CL"/>
              </w:rPr>
              <w:t>OH</w:t>
            </w:r>
          </w:p>
        </w:tc>
        <w:tc>
          <w:tcPr>
            <w:tcW w:w="2207" w:type="dxa"/>
            <w:vAlign w:val="center"/>
          </w:tcPr>
          <w:p w14:paraId="0BCD0465" w14:textId="77777777" w:rsidR="009C0A6C" w:rsidRPr="00BB0DE0" w:rsidRDefault="009C0A6C" w:rsidP="009C0A6C">
            <w:pPr>
              <w:spacing w:line="240" w:lineRule="auto"/>
              <w:jc w:val="center"/>
              <w:rPr>
                <w:rFonts w:cs="Times New Roman"/>
                <w:lang w:val="en-US"/>
              </w:rPr>
            </w:pPr>
            <w:r w:rsidRPr="00BB0DE0">
              <w:rPr>
                <w:rFonts w:cs="Times New Roman"/>
                <w:lang w:val="en-US"/>
              </w:rPr>
              <w:t>79</w:t>
            </w:r>
          </w:p>
        </w:tc>
        <w:tc>
          <w:tcPr>
            <w:tcW w:w="2207" w:type="dxa"/>
            <w:vAlign w:val="center"/>
          </w:tcPr>
          <w:p w14:paraId="532E5A0D" w14:textId="77777777" w:rsidR="009C0A6C" w:rsidRPr="00BB0DE0" w:rsidRDefault="009C0A6C" w:rsidP="009C0A6C">
            <w:pPr>
              <w:spacing w:line="240" w:lineRule="auto"/>
              <w:jc w:val="center"/>
              <w:rPr>
                <w:rFonts w:cs="Times New Roman"/>
                <w:lang w:val="en-US"/>
              </w:rPr>
            </w:pPr>
            <w:r w:rsidRPr="00BB0DE0">
              <w:rPr>
                <w:rFonts w:cs="Times New Roman"/>
                <w:lang w:val="en-US"/>
              </w:rPr>
              <w:t>79</w:t>
            </w:r>
          </w:p>
        </w:tc>
        <w:tc>
          <w:tcPr>
            <w:tcW w:w="2207" w:type="dxa"/>
            <w:vAlign w:val="center"/>
          </w:tcPr>
          <w:p w14:paraId="34419561" w14:textId="77777777" w:rsidR="009C0A6C" w:rsidRPr="00BB0DE0" w:rsidRDefault="009C0A6C" w:rsidP="009C0A6C">
            <w:pPr>
              <w:spacing w:line="240" w:lineRule="auto"/>
              <w:jc w:val="center"/>
              <w:rPr>
                <w:rFonts w:cs="Times New Roman"/>
                <w:lang w:val="en-US"/>
              </w:rPr>
            </w:pPr>
            <w:r w:rsidRPr="00BB0DE0">
              <w:rPr>
                <w:rFonts w:cs="Times New Roman"/>
                <w:lang w:val="en-US"/>
              </w:rPr>
              <w:t>78</w:t>
            </w:r>
          </w:p>
        </w:tc>
      </w:tr>
      <w:tr w:rsidR="009C0A6C" w:rsidRPr="00BB0DE0" w14:paraId="3FD8D1E3" w14:textId="77777777" w:rsidTr="00B708A9">
        <w:tc>
          <w:tcPr>
            <w:tcW w:w="2207" w:type="dxa"/>
            <w:vAlign w:val="center"/>
          </w:tcPr>
          <w:p w14:paraId="1FE0BFB6" w14:textId="4DB33129" w:rsidR="009C0A6C" w:rsidRPr="00BB0DE0" w:rsidRDefault="009C0A6C" w:rsidP="009C0A6C">
            <w:pPr>
              <w:spacing w:line="240" w:lineRule="auto"/>
              <w:jc w:val="center"/>
              <w:rPr>
                <w:rFonts w:cs="Times New Roman"/>
                <w:lang w:val="en-US"/>
              </w:rPr>
            </w:pPr>
            <w:r w:rsidRPr="00BB0DE0">
              <w:rPr>
                <w:rFonts w:eastAsia="Calibri" w:cs="Times New Roman"/>
                <w:lang w:eastAsia="es-CL"/>
              </w:rPr>
              <w:t>H-BNNT-</w:t>
            </w:r>
            <w:r w:rsidR="00A63E2C" w:rsidRPr="00BB0DE0">
              <w:rPr>
                <w:rFonts w:eastAsia="Calibri" w:cs="Times New Roman"/>
                <w:lang w:eastAsia="es-CL"/>
              </w:rPr>
              <w:t>EO</w:t>
            </w:r>
          </w:p>
        </w:tc>
        <w:tc>
          <w:tcPr>
            <w:tcW w:w="2207" w:type="dxa"/>
            <w:vAlign w:val="center"/>
          </w:tcPr>
          <w:p w14:paraId="0C276537" w14:textId="77777777" w:rsidR="009C0A6C" w:rsidRPr="00BB0DE0" w:rsidRDefault="009C0A6C" w:rsidP="009C0A6C">
            <w:pPr>
              <w:spacing w:line="240" w:lineRule="auto"/>
              <w:jc w:val="center"/>
              <w:rPr>
                <w:rFonts w:cs="Times New Roman"/>
                <w:lang w:val="en-US"/>
              </w:rPr>
            </w:pPr>
            <w:r w:rsidRPr="00BB0DE0">
              <w:rPr>
                <w:rFonts w:cs="Times New Roman"/>
                <w:lang w:val="en-US"/>
              </w:rPr>
              <w:t>78</w:t>
            </w:r>
          </w:p>
        </w:tc>
        <w:tc>
          <w:tcPr>
            <w:tcW w:w="2207" w:type="dxa"/>
            <w:vAlign w:val="center"/>
          </w:tcPr>
          <w:p w14:paraId="5E629604" w14:textId="77777777" w:rsidR="009C0A6C" w:rsidRPr="00BB0DE0" w:rsidRDefault="009C0A6C" w:rsidP="009C0A6C">
            <w:pPr>
              <w:spacing w:line="240" w:lineRule="auto"/>
              <w:jc w:val="center"/>
              <w:rPr>
                <w:rFonts w:cs="Times New Roman"/>
                <w:lang w:val="en-US"/>
              </w:rPr>
            </w:pPr>
            <w:r w:rsidRPr="00BB0DE0">
              <w:rPr>
                <w:rFonts w:cs="Times New Roman"/>
                <w:lang w:val="en-US"/>
              </w:rPr>
              <w:t>78</w:t>
            </w:r>
          </w:p>
        </w:tc>
        <w:tc>
          <w:tcPr>
            <w:tcW w:w="2207" w:type="dxa"/>
            <w:vAlign w:val="center"/>
          </w:tcPr>
          <w:p w14:paraId="072209A6" w14:textId="77777777" w:rsidR="009C0A6C" w:rsidRPr="00BB0DE0" w:rsidRDefault="009C0A6C" w:rsidP="009C0A6C">
            <w:pPr>
              <w:spacing w:line="240" w:lineRule="auto"/>
              <w:jc w:val="center"/>
              <w:rPr>
                <w:rFonts w:cs="Times New Roman"/>
                <w:lang w:val="en-US"/>
              </w:rPr>
            </w:pPr>
            <w:r w:rsidRPr="00BB0DE0">
              <w:rPr>
                <w:rFonts w:cs="Times New Roman"/>
                <w:lang w:val="en-US"/>
              </w:rPr>
              <w:t>81</w:t>
            </w:r>
          </w:p>
        </w:tc>
      </w:tr>
      <w:tr w:rsidR="009C0A6C" w:rsidRPr="00BB0DE0" w14:paraId="41C5E4A9" w14:textId="77777777" w:rsidTr="00B708A9">
        <w:tc>
          <w:tcPr>
            <w:tcW w:w="2207" w:type="dxa"/>
            <w:tcBorders>
              <w:bottom w:val="single" w:sz="4" w:space="0" w:color="auto"/>
            </w:tcBorders>
            <w:vAlign w:val="center"/>
          </w:tcPr>
          <w:p w14:paraId="7BF8CE39" w14:textId="77777777" w:rsidR="009C0A6C" w:rsidRPr="00BB0DE0" w:rsidRDefault="009C0A6C" w:rsidP="009C0A6C">
            <w:pPr>
              <w:spacing w:line="240" w:lineRule="auto"/>
              <w:jc w:val="center"/>
              <w:rPr>
                <w:rFonts w:cs="Times New Roman"/>
                <w:lang w:val="en-US"/>
              </w:rPr>
            </w:pPr>
            <w:r w:rsidRPr="00BB0DE0">
              <w:rPr>
                <w:rFonts w:eastAsia="Calibri" w:cs="Times New Roman"/>
                <w:lang w:eastAsia="es-CL"/>
              </w:rPr>
              <w:t>H-BNNT-PEGNH</w:t>
            </w:r>
            <w:r w:rsidRPr="00BB0DE0">
              <w:rPr>
                <w:rFonts w:eastAsia="Calibri" w:cs="Times New Roman"/>
                <w:vertAlign w:val="subscript"/>
                <w:lang w:eastAsia="es-CL"/>
              </w:rPr>
              <w:t>2</w:t>
            </w:r>
          </w:p>
        </w:tc>
        <w:tc>
          <w:tcPr>
            <w:tcW w:w="2207" w:type="dxa"/>
            <w:tcBorders>
              <w:bottom w:val="single" w:sz="4" w:space="0" w:color="auto"/>
            </w:tcBorders>
            <w:vAlign w:val="center"/>
          </w:tcPr>
          <w:p w14:paraId="130C5BF8" w14:textId="77777777" w:rsidR="009C0A6C" w:rsidRPr="00BB0DE0" w:rsidRDefault="009C0A6C" w:rsidP="009C0A6C">
            <w:pPr>
              <w:spacing w:line="240" w:lineRule="auto"/>
              <w:jc w:val="center"/>
              <w:rPr>
                <w:rFonts w:cs="Times New Roman"/>
                <w:lang w:val="en-US"/>
              </w:rPr>
            </w:pPr>
            <w:r w:rsidRPr="00BB0DE0">
              <w:rPr>
                <w:rFonts w:cs="Times New Roman"/>
                <w:lang w:val="en-US"/>
              </w:rPr>
              <w:t>75</w:t>
            </w:r>
          </w:p>
        </w:tc>
        <w:tc>
          <w:tcPr>
            <w:tcW w:w="2207" w:type="dxa"/>
            <w:tcBorders>
              <w:bottom w:val="single" w:sz="4" w:space="0" w:color="auto"/>
            </w:tcBorders>
            <w:vAlign w:val="center"/>
          </w:tcPr>
          <w:p w14:paraId="5C30E4ED" w14:textId="77777777" w:rsidR="009C0A6C" w:rsidRPr="00BB0DE0" w:rsidRDefault="009C0A6C" w:rsidP="009C0A6C">
            <w:pPr>
              <w:spacing w:line="240" w:lineRule="auto"/>
              <w:jc w:val="center"/>
              <w:rPr>
                <w:rFonts w:cs="Times New Roman"/>
                <w:lang w:val="en-US"/>
              </w:rPr>
            </w:pPr>
            <w:r w:rsidRPr="00BB0DE0">
              <w:rPr>
                <w:rFonts w:cs="Times New Roman"/>
                <w:lang w:val="en-US"/>
              </w:rPr>
              <w:t>77</w:t>
            </w:r>
          </w:p>
        </w:tc>
        <w:tc>
          <w:tcPr>
            <w:tcW w:w="2207" w:type="dxa"/>
            <w:tcBorders>
              <w:bottom w:val="single" w:sz="4" w:space="0" w:color="auto"/>
            </w:tcBorders>
            <w:vAlign w:val="center"/>
          </w:tcPr>
          <w:p w14:paraId="5ACB3BE7" w14:textId="77777777" w:rsidR="009C0A6C" w:rsidRPr="00BB0DE0" w:rsidRDefault="009C0A6C" w:rsidP="009C0A6C">
            <w:pPr>
              <w:spacing w:line="240" w:lineRule="auto"/>
              <w:jc w:val="center"/>
              <w:rPr>
                <w:rFonts w:cs="Times New Roman"/>
                <w:lang w:val="en-US"/>
              </w:rPr>
            </w:pPr>
            <w:r w:rsidRPr="00BB0DE0">
              <w:rPr>
                <w:rFonts w:cs="Times New Roman"/>
                <w:lang w:val="en-US"/>
              </w:rPr>
              <w:t>79</w:t>
            </w:r>
          </w:p>
        </w:tc>
      </w:tr>
    </w:tbl>
    <w:p w14:paraId="07AA5F3A" w14:textId="77777777" w:rsidR="00D2022A" w:rsidRDefault="00D2022A" w:rsidP="00EA1CF2">
      <w:pPr>
        <w:rPr>
          <w:rFonts w:asciiTheme="minorHAnsi" w:hAnsiTheme="minorHAnsi" w:cstheme="minorHAnsi"/>
          <w:lang w:val="en-US"/>
        </w:rPr>
      </w:pPr>
    </w:p>
    <w:p w14:paraId="2A307645" w14:textId="77777777" w:rsidR="004C18B6" w:rsidRDefault="004C18B6" w:rsidP="00EA1CF2">
      <w:pPr>
        <w:rPr>
          <w:rFonts w:asciiTheme="minorHAnsi" w:hAnsiTheme="minorHAnsi" w:cstheme="minorHAnsi"/>
          <w:lang w:val="en-US"/>
        </w:rPr>
      </w:pPr>
    </w:p>
    <w:p w14:paraId="77036CE4" w14:textId="6EA61068" w:rsidR="00372BFC" w:rsidRDefault="004C18B6" w:rsidP="004C18B6">
      <w:pPr>
        <w:jc w:val="center"/>
        <w:rPr>
          <w:rFonts w:asciiTheme="minorHAnsi" w:hAnsiTheme="minorHAnsi" w:cstheme="minorHAnsi"/>
          <w:lang w:val="en-US"/>
        </w:rPr>
      </w:pPr>
      <w:r>
        <w:rPr>
          <w:noProof/>
          <w:lang w:val="en-US"/>
        </w:rPr>
        <w:lastRenderedPageBreak/>
        <w:drawing>
          <wp:inline distT="0" distB="0" distL="0" distR="0" wp14:anchorId="24D359E7" wp14:editId="0131564A">
            <wp:extent cx="2677843" cy="1968500"/>
            <wp:effectExtent l="0" t="0" r="825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680691" cy="1970594"/>
                    </a:xfrm>
                    <a:prstGeom prst="rect">
                      <a:avLst/>
                    </a:prstGeom>
                    <a:noFill/>
                    <a:ln>
                      <a:noFill/>
                    </a:ln>
                  </pic:spPr>
                </pic:pic>
              </a:graphicData>
            </a:graphic>
          </wp:inline>
        </w:drawing>
      </w:r>
    </w:p>
    <w:p w14:paraId="1EF2DA21" w14:textId="1B29FBC4" w:rsidR="00AE7524" w:rsidRDefault="00372BFC" w:rsidP="00EA1CF2">
      <w:pPr>
        <w:rPr>
          <w:rFonts w:cs="Times New Roman"/>
          <w:lang w:val="en-US"/>
        </w:rPr>
      </w:pPr>
      <w:r w:rsidRPr="003E5D7D">
        <w:rPr>
          <w:rFonts w:cs="Times New Roman"/>
          <w:lang w:val="en-US"/>
        </w:rPr>
        <w:t xml:space="preserve">Figure </w:t>
      </w:r>
      <w:r w:rsidR="004E522E">
        <w:rPr>
          <w:rFonts w:cs="Times New Roman"/>
          <w:lang w:val="en-US"/>
        </w:rPr>
        <w:t>S</w:t>
      </w:r>
      <w:r w:rsidR="000D4B2B">
        <w:rPr>
          <w:rFonts w:cs="Times New Roman"/>
          <w:lang w:val="en-US"/>
        </w:rPr>
        <w:t>4</w:t>
      </w:r>
      <w:r w:rsidRPr="003E5D7D">
        <w:rPr>
          <w:rFonts w:cs="Times New Roman"/>
          <w:lang w:val="en-US"/>
        </w:rPr>
        <w:t>.</w:t>
      </w:r>
      <w:r w:rsidR="00231445" w:rsidRPr="003E5D7D">
        <w:rPr>
          <w:rFonts w:cs="Times New Roman"/>
          <w:lang w:val="en-US"/>
        </w:rPr>
        <w:t xml:space="preserve"> Photographs of H-0 (A) and H-BNNT-OH (B) self-healing hydrogels formed immediately after the mixing of a 4% solution of chitosan and a solution of dialdehyde starch at 25 ℃.</w:t>
      </w:r>
    </w:p>
    <w:p w14:paraId="26615704" w14:textId="77777777" w:rsidR="00AE7524" w:rsidRDefault="00AE7524" w:rsidP="00EA1CF2">
      <w:pPr>
        <w:rPr>
          <w:rFonts w:cs="Times New Roman"/>
          <w:lang w:val="en-US"/>
        </w:rPr>
      </w:pPr>
    </w:p>
    <w:p w14:paraId="19BA3304" w14:textId="43CE692A" w:rsidR="00B522A9" w:rsidRDefault="00AE7524" w:rsidP="00EA1CF2">
      <w:pPr>
        <w:rPr>
          <w:rFonts w:cs="Times New Roman"/>
          <w:lang w:val="en-US"/>
        </w:rPr>
      </w:pPr>
      <w:r>
        <w:rPr>
          <w:rFonts w:cs="Times New Roman"/>
          <w:lang w:val="en-US"/>
        </w:rPr>
        <w:object w:dxaOrig="1510" w:dyaOrig="987" w14:anchorId="1B5D396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9.55pt" o:ole="">
            <v:imagedata r:id="rId10" o:title=""/>
          </v:shape>
          <o:OLEObject Type="Embed" ProgID="Package" ShapeID="_x0000_i1025" DrawAspect="Icon" ObjectID="_1812870513" r:id="rId11"/>
        </w:object>
      </w:r>
    </w:p>
    <w:p w14:paraId="7E6E1560" w14:textId="1E1AA609" w:rsidR="00AE7524" w:rsidRDefault="00AE7524" w:rsidP="00EA1CF2">
      <w:pPr>
        <w:rPr>
          <w:rFonts w:cs="Times New Roman"/>
          <w:lang w:val="en-US"/>
        </w:rPr>
      </w:pPr>
      <w:r>
        <w:rPr>
          <w:rFonts w:cs="Times New Roman"/>
          <w:lang w:val="en-US"/>
        </w:rPr>
        <w:t>Video S1. Self-healing of H-0</w:t>
      </w:r>
    </w:p>
    <w:p w14:paraId="26152C8F" w14:textId="60A66BDD" w:rsidR="00C723B9" w:rsidRDefault="00AE7524" w:rsidP="0088624C">
      <w:pPr>
        <w:rPr>
          <w:rFonts w:cs="Times New Roman"/>
          <w:lang w:val="en-US"/>
        </w:rPr>
      </w:pPr>
      <w:r>
        <w:rPr>
          <w:rFonts w:cs="Times New Roman"/>
          <w:lang w:val="en-US"/>
        </w:rPr>
        <w:object w:dxaOrig="1510" w:dyaOrig="987" w14:anchorId="4157CED4">
          <v:shape id="_x0000_i1026" type="#_x0000_t75" style="width:75.75pt;height:49.55pt" o:ole="">
            <v:imagedata r:id="rId12" o:title=""/>
          </v:shape>
          <o:OLEObject Type="Embed" ProgID="Package" ShapeID="_x0000_i1026" DrawAspect="Icon" ObjectID="_1812870514" r:id="rId13"/>
        </w:object>
      </w:r>
    </w:p>
    <w:p w14:paraId="1996FF37" w14:textId="4BF70B16" w:rsidR="00AE7524" w:rsidRDefault="00AE7524" w:rsidP="00AE7524">
      <w:pPr>
        <w:rPr>
          <w:rFonts w:cs="Times New Roman"/>
          <w:lang w:val="en-US"/>
        </w:rPr>
      </w:pPr>
      <w:r>
        <w:rPr>
          <w:rFonts w:cs="Times New Roman"/>
          <w:lang w:val="en-US"/>
        </w:rPr>
        <w:t>Video S</w:t>
      </w:r>
      <w:r w:rsidR="00BB0DE0">
        <w:rPr>
          <w:rFonts w:cs="Times New Roman"/>
          <w:lang w:val="en-US"/>
        </w:rPr>
        <w:t>2</w:t>
      </w:r>
      <w:r>
        <w:rPr>
          <w:rFonts w:cs="Times New Roman"/>
          <w:lang w:val="en-US"/>
        </w:rPr>
        <w:t>. Self-healing of H-BNNT-</w:t>
      </w:r>
      <w:r w:rsidR="00A63E2C">
        <w:rPr>
          <w:rFonts w:cs="Times New Roman"/>
          <w:lang w:val="en-US"/>
        </w:rPr>
        <w:t>CO</w:t>
      </w:r>
      <w:r>
        <w:rPr>
          <w:rFonts w:cs="Times New Roman"/>
          <w:lang w:val="en-US"/>
        </w:rPr>
        <w:t>OH</w:t>
      </w:r>
    </w:p>
    <w:p w14:paraId="7D755584" w14:textId="09B39708" w:rsidR="00431C60" w:rsidRPr="00AA3FC5" w:rsidRDefault="00431C60" w:rsidP="004E3328">
      <w:pPr>
        <w:rPr>
          <w:lang w:val="en-US"/>
        </w:rPr>
      </w:pPr>
    </w:p>
    <w:p w14:paraId="612A22A7" w14:textId="01E39F4D" w:rsidR="00431C60" w:rsidRDefault="00431C60" w:rsidP="00541048">
      <w:pPr>
        <w:tabs>
          <w:tab w:val="left" w:pos="2240"/>
        </w:tabs>
        <w:rPr>
          <w:rFonts w:asciiTheme="minorHAnsi" w:hAnsiTheme="minorHAnsi" w:cstheme="minorHAnsi"/>
          <w:lang w:val="en-US"/>
        </w:rPr>
      </w:pPr>
    </w:p>
    <w:p w14:paraId="1462FEBA" w14:textId="34D2F06D" w:rsidR="004E3328" w:rsidRDefault="004E3328" w:rsidP="00541048">
      <w:pPr>
        <w:tabs>
          <w:tab w:val="left" w:pos="2240"/>
        </w:tabs>
        <w:rPr>
          <w:rFonts w:asciiTheme="minorHAnsi" w:hAnsiTheme="minorHAnsi" w:cstheme="minorHAnsi"/>
          <w:lang w:val="en-US"/>
        </w:rPr>
      </w:pPr>
    </w:p>
    <w:p w14:paraId="1B5E61B0" w14:textId="1E6A7508" w:rsidR="004E3328" w:rsidRDefault="004E3328" w:rsidP="00541048">
      <w:pPr>
        <w:tabs>
          <w:tab w:val="left" w:pos="2240"/>
        </w:tabs>
        <w:rPr>
          <w:rFonts w:asciiTheme="minorHAnsi" w:hAnsiTheme="minorHAnsi" w:cstheme="minorHAnsi"/>
          <w:lang w:val="en-US"/>
        </w:rPr>
      </w:pPr>
    </w:p>
    <w:p w14:paraId="7518820E" w14:textId="77777777" w:rsidR="004E3328" w:rsidRDefault="004E3328" w:rsidP="00541048">
      <w:pPr>
        <w:tabs>
          <w:tab w:val="left" w:pos="2240"/>
        </w:tabs>
        <w:rPr>
          <w:rFonts w:asciiTheme="minorHAnsi" w:hAnsiTheme="minorHAnsi" w:cstheme="minorHAnsi"/>
          <w:lang w:val="en-US"/>
        </w:rPr>
      </w:pPr>
    </w:p>
    <w:p w14:paraId="5E595078" w14:textId="4589563C" w:rsidR="00431C60" w:rsidRDefault="004E3328" w:rsidP="004E3328">
      <w:pPr>
        <w:pStyle w:val="ListParagraph"/>
        <w:numPr>
          <w:ilvl w:val="0"/>
          <w:numId w:val="6"/>
        </w:numPr>
        <w:tabs>
          <w:tab w:val="left" w:pos="2240"/>
        </w:tabs>
        <w:rPr>
          <w:rFonts w:ascii="Times New Roman" w:hAnsi="Times New Roman" w:cs="Times New Roman"/>
          <w:b/>
          <w:bCs/>
          <w:i/>
          <w:iCs/>
          <w:lang w:val="en-US"/>
        </w:rPr>
      </w:pPr>
      <w:r w:rsidRPr="004E3328">
        <w:rPr>
          <w:rFonts w:ascii="Times New Roman" w:hAnsi="Times New Roman" w:cs="Times New Roman"/>
          <w:b/>
          <w:bCs/>
          <w:i/>
          <w:iCs/>
          <w:lang w:val="en-US"/>
        </w:rPr>
        <w:lastRenderedPageBreak/>
        <w:t>Swelling behavior and degradation assays</w:t>
      </w:r>
      <w:r>
        <w:rPr>
          <w:rFonts w:ascii="Times New Roman" w:hAnsi="Times New Roman" w:cs="Times New Roman"/>
          <w:b/>
          <w:bCs/>
          <w:i/>
          <w:iCs/>
          <w:lang w:val="en-US"/>
        </w:rPr>
        <w:t xml:space="preserve"> of hydrogels</w:t>
      </w:r>
    </w:p>
    <w:p w14:paraId="40BE1377" w14:textId="77777777" w:rsidR="006A3166" w:rsidRPr="004E3328" w:rsidRDefault="006A3166" w:rsidP="006A3166">
      <w:pPr>
        <w:pStyle w:val="ListParagraph"/>
        <w:tabs>
          <w:tab w:val="left" w:pos="2240"/>
        </w:tabs>
        <w:rPr>
          <w:rFonts w:ascii="Times New Roman" w:hAnsi="Times New Roman" w:cs="Times New Roman"/>
          <w:b/>
          <w:bCs/>
          <w:i/>
          <w:iCs/>
          <w:lang w:val="en-US"/>
        </w:rPr>
      </w:pPr>
    </w:p>
    <w:p w14:paraId="17D6EDDB" w14:textId="0E5682FA" w:rsidR="004E3328" w:rsidRPr="004E3328" w:rsidRDefault="004E3328" w:rsidP="004E3328">
      <w:pPr>
        <w:tabs>
          <w:tab w:val="left" w:pos="2240"/>
        </w:tabs>
        <w:rPr>
          <w:rFonts w:cs="Times New Roman"/>
          <w:lang w:val="en-CA"/>
        </w:rPr>
      </w:pPr>
      <w:r w:rsidRPr="004E3328">
        <w:rPr>
          <w:rFonts w:cs="Times New Roman"/>
          <w:lang w:val="en-CA"/>
        </w:rPr>
        <w:t xml:space="preserve">The swelling behaviors of hydrogels were determined by immersing the weighed and fresh hydrogels in water at 25°C. The swollen hydrogels were weighed daily after removing the water until equilibrium was reached. The swelling ratio (SR) was calculated by the Eq. </w:t>
      </w:r>
      <w:r w:rsidR="008C310E">
        <w:rPr>
          <w:rFonts w:cs="Times New Roman"/>
          <w:lang w:val="en-CA"/>
        </w:rPr>
        <w:t>1</w:t>
      </w:r>
      <w:r w:rsidRPr="004E3328">
        <w:rPr>
          <w:rFonts w:cs="Times New Roman"/>
          <w:lang w:val="en-CA"/>
        </w:rPr>
        <w:t xml:space="preserve">: </w:t>
      </w:r>
    </w:p>
    <w:p w14:paraId="2B6FBB7C" w14:textId="0DEC1858" w:rsidR="004E3328" w:rsidRPr="004E3328" w:rsidRDefault="004E3328" w:rsidP="004E3328">
      <w:pPr>
        <w:tabs>
          <w:tab w:val="left" w:pos="2240"/>
        </w:tabs>
        <w:rPr>
          <w:rFonts w:cs="Times New Roman"/>
          <w:lang w:val="en-CA"/>
        </w:rPr>
      </w:pPr>
      <m:oMath>
        <m:r>
          <w:rPr>
            <w:rFonts w:ascii="Cambria Math" w:hAnsi="Cambria Math" w:cs="Times New Roman"/>
          </w:rPr>
          <m:t>SR</m:t>
        </m:r>
        <m:r>
          <w:rPr>
            <w:rFonts w:ascii="Cambria Math" w:hAnsi="Cambria Math" w:cs="Times New Roman"/>
            <w:lang w:val="en-US"/>
          </w:rPr>
          <m:t xml:space="preserve"> </m:t>
        </m:r>
        <m:d>
          <m:dPr>
            <m:ctrlPr>
              <w:rPr>
                <w:rFonts w:ascii="Cambria Math" w:hAnsi="Cambria Math" w:cs="Times New Roman"/>
                <w:i/>
              </w:rPr>
            </m:ctrlPr>
          </m:dPr>
          <m:e>
            <m:r>
              <w:rPr>
                <w:rFonts w:ascii="Cambria Math" w:hAnsi="Cambria Math" w:cs="Times New Roman"/>
                <w:lang w:val="en-US"/>
              </w:rPr>
              <m:t>%</m:t>
            </m:r>
          </m:e>
        </m:d>
        <m:r>
          <w:rPr>
            <w:rFonts w:ascii="Cambria Math" w:hAnsi="Cambria Math" w:cs="Times New Roman"/>
            <w:lang w:val="en-US"/>
          </w:rPr>
          <m:t xml:space="preserve">= </m:t>
        </m:r>
        <m:f>
          <m:fPr>
            <m:type m:val="lin"/>
            <m:ctrlPr>
              <w:rPr>
                <w:rFonts w:ascii="Cambria Math" w:hAnsi="Cambria Math" w:cs="Times New Roman"/>
                <w:i/>
              </w:rPr>
            </m:ctrlPr>
          </m:fPr>
          <m:num>
            <m:d>
              <m:dPr>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s</m:t>
                    </m:r>
                  </m:sub>
                </m:sSub>
                <m:r>
                  <w:rPr>
                    <w:rFonts w:ascii="Cambria Math" w:hAnsi="Cambria Math" w:cs="Times New Roman"/>
                    <w:lang w:val="en-US"/>
                  </w:rPr>
                  <m:t>-</m:t>
                </m:r>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d</m:t>
                    </m:r>
                  </m:sub>
                </m:sSub>
              </m:e>
            </m:d>
          </m:num>
          <m:den>
            <m:sSub>
              <m:sSubPr>
                <m:ctrlPr>
                  <w:rPr>
                    <w:rFonts w:ascii="Cambria Math" w:hAnsi="Cambria Math" w:cs="Times New Roman"/>
                    <w:i/>
                  </w:rPr>
                </m:ctrlPr>
              </m:sSubPr>
              <m:e>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d</m:t>
                    </m:r>
                  </m:sub>
                </m:sSub>
                <m:r>
                  <w:rPr>
                    <w:rFonts w:ascii="Cambria Math" w:hAnsi="Cambria Math" w:cs="Times New Roman"/>
                    <w:lang w:val="en-US"/>
                  </w:rPr>
                  <m:t xml:space="preserve"> </m:t>
                </m:r>
              </m:e>
              <m:sub>
                <m:r>
                  <w:rPr>
                    <w:rFonts w:ascii="Cambria Math" w:hAnsi="Cambria Math" w:cs="Times New Roman"/>
                    <w:lang w:val="en-US"/>
                  </w:rPr>
                  <m:t xml:space="preserve">  </m:t>
                </m:r>
              </m:sub>
            </m:sSub>
            <m:r>
              <w:rPr>
                <w:rFonts w:ascii="Cambria Math" w:hAnsi="Cambria Math" w:cs="Times New Roman"/>
              </w:rPr>
              <m:t>x</m:t>
            </m:r>
            <m:r>
              <w:rPr>
                <w:rFonts w:ascii="Cambria Math" w:hAnsi="Cambria Math" w:cs="Times New Roman"/>
                <w:lang w:val="en-US"/>
              </w:rPr>
              <m:t xml:space="preserve"> 100</m:t>
            </m:r>
          </m:den>
        </m:f>
      </m:oMath>
      <w:r w:rsidRPr="004E3328">
        <w:rPr>
          <w:rFonts w:cs="Times New Roman"/>
          <w:lang w:val="en-CA"/>
        </w:rPr>
        <w:t xml:space="preserve">              (</w:t>
      </w:r>
      <w:r w:rsidR="008C310E">
        <w:rPr>
          <w:rFonts w:cs="Times New Roman"/>
          <w:lang w:val="en-CA"/>
        </w:rPr>
        <w:t>1</w:t>
      </w:r>
      <w:r w:rsidRPr="004E3328">
        <w:rPr>
          <w:rFonts w:cs="Times New Roman"/>
          <w:lang w:val="en-CA"/>
        </w:rPr>
        <w:t>)</w:t>
      </w:r>
    </w:p>
    <w:p w14:paraId="78783E1D" w14:textId="77777777" w:rsidR="004E3328" w:rsidRPr="004E3328" w:rsidRDefault="004E3328" w:rsidP="004E3328">
      <w:pPr>
        <w:tabs>
          <w:tab w:val="left" w:pos="2240"/>
        </w:tabs>
        <w:rPr>
          <w:rFonts w:cs="Times New Roman"/>
          <w:lang w:val="en-CA"/>
        </w:rPr>
      </w:pPr>
      <w:r w:rsidRPr="004E3328">
        <w:rPr>
          <w:rFonts w:cs="Times New Roman"/>
          <w:lang w:val="en-CA"/>
        </w:rPr>
        <w:t xml:space="preserve">where </w:t>
      </w:r>
      <w:r w:rsidRPr="008C310E">
        <w:rPr>
          <w:rFonts w:cs="Times New Roman"/>
          <w:i/>
          <w:iCs/>
          <w:lang w:val="en-CA"/>
        </w:rPr>
        <w:t>W</w:t>
      </w:r>
      <w:r w:rsidRPr="008C310E">
        <w:rPr>
          <w:rFonts w:cs="Times New Roman"/>
          <w:i/>
          <w:iCs/>
          <w:vertAlign w:val="subscript"/>
          <w:lang w:val="en-CA"/>
        </w:rPr>
        <w:t>s</w:t>
      </w:r>
      <w:r w:rsidRPr="004E3328">
        <w:rPr>
          <w:rFonts w:cs="Times New Roman"/>
          <w:lang w:val="en-CA"/>
        </w:rPr>
        <w:t xml:space="preserve"> is the weight of swollen hydrogel and </w:t>
      </w:r>
      <w:r w:rsidRPr="008C310E">
        <w:rPr>
          <w:rFonts w:cs="Times New Roman"/>
          <w:i/>
          <w:iCs/>
          <w:lang w:val="en-CA"/>
        </w:rPr>
        <w:t>W</w:t>
      </w:r>
      <w:r w:rsidRPr="008C310E">
        <w:rPr>
          <w:rFonts w:cs="Times New Roman"/>
          <w:i/>
          <w:iCs/>
          <w:vertAlign w:val="subscript"/>
          <w:lang w:val="en-CA"/>
        </w:rPr>
        <w:t>d</w:t>
      </w:r>
      <w:r w:rsidRPr="004E3328">
        <w:rPr>
          <w:rFonts w:cs="Times New Roman"/>
          <w:lang w:val="en-CA"/>
        </w:rPr>
        <w:t xml:space="preserve"> is the weight of fresh hydrogel.</w:t>
      </w:r>
    </w:p>
    <w:p w14:paraId="2C629CA6" w14:textId="1FF4D5F5" w:rsidR="004E3328" w:rsidRPr="008C310E" w:rsidRDefault="004E3328" w:rsidP="004E3328">
      <w:pPr>
        <w:tabs>
          <w:tab w:val="left" w:pos="2240"/>
        </w:tabs>
        <w:rPr>
          <w:rFonts w:cs="Times New Roman"/>
        </w:rPr>
      </w:pPr>
      <w:r w:rsidRPr="00A43167">
        <w:rPr>
          <w:rFonts w:cs="Times New Roman"/>
          <w:lang w:val="en-US"/>
        </w:rPr>
        <w:t xml:space="preserve">To determine the degradation of the hydrogels, hydrogel samples were prepared and freeze-dried. Then, each hydrogel was weighed and placed in PBS solution at 37 °C under static conditions. These hydrogels were removed, freeze dried and weighed again at 7 and 14 days of incubation to determine the final dry weight. The weight loss of the samples was calculated by Eq. </w:t>
      </w:r>
      <w:r w:rsidRPr="008C310E">
        <w:rPr>
          <w:rFonts w:cs="Times New Roman"/>
        </w:rPr>
        <w:t>(</w:t>
      </w:r>
      <w:r w:rsidR="008C310E" w:rsidRPr="008C310E">
        <w:rPr>
          <w:rFonts w:cs="Times New Roman"/>
        </w:rPr>
        <w:t>2</w:t>
      </w:r>
      <w:r w:rsidRPr="008C310E">
        <w:rPr>
          <w:rFonts w:cs="Times New Roman"/>
        </w:rPr>
        <w:t>) (</w:t>
      </w:r>
      <w:r w:rsidR="008C310E">
        <w:rPr>
          <w:rFonts w:cs="Times New Roman"/>
        </w:rPr>
        <w:t>Pettinelli</w:t>
      </w:r>
      <w:r w:rsidRPr="008C310E">
        <w:rPr>
          <w:rFonts w:cs="Times New Roman"/>
        </w:rPr>
        <w:t xml:space="preserve"> et al., 20</w:t>
      </w:r>
      <w:r w:rsidR="008C310E">
        <w:rPr>
          <w:rFonts w:cs="Times New Roman"/>
        </w:rPr>
        <w:t>20</w:t>
      </w:r>
      <w:r w:rsidRPr="008C310E">
        <w:rPr>
          <w:rFonts w:cs="Times New Roman"/>
        </w:rPr>
        <w:t>):</w:t>
      </w:r>
    </w:p>
    <w:p w14:paraId="1F0E10D5" w14:textId="33EBDC42" w:rsidR="004E3328" w:rsidRPr="008C310E" w:rsidRDefault="004E3328" w:rsidP="004E3328">
      <w:pPr>
        <w:ind w:left="567"/>
      </w:pPr>
      <m:oMath>
        <m:r>
          <w:rPr>
            <w:rFonts w:ascii="Cambria Math" w:hAnsi="Cambria Math"/>
          </w:rPr>
          <m:t xml:space="preserve">Weight loss </m:t>
        </m:r>
        <m:d>
          <m:dPr>
            <m:ctrlPr>
              <w:rPr>
                <w:rFonts w:ascii="Cambria Math" w:hAnsi="Cambria Math"/>
                <w:i/>
              </w:rPr>
            </m:ctrlPr>
          </m:dPr>
          <m:e>
            <m:r>
              <w:rPr>
                <w:rFonts w:ascii="Cambria Math" w:hAnsi="Cambria Math"/>
              </w:rPr>
              <m:t>%</m:t>
            </m:r>
          </m:e>
        </m:d>
        <m:r>
          <w:rPr>
            <w:rFonts w:ascii="Cambria Math" w:hAnsi="Cambria Math"/>
          </w:rPr>
          <m:t xml:space="preserve">= </m:t>
        </m:r>
        <m:f>
          <m:fPr>
            <m:type m:val="lin"/>
            <m:ctrlPr>
              <w:rPr>
                <w:rFonts w:ascii="Cambria Math" w:hAnsi="Cambria Math"/>
                <w:i/>
              </w:rPr>
            </m:ctrlPr>
          </m:fPr>
          <m:num>
            <m:d>
              <m:dPr>
                <m:ctrlPr>
                  <w:rPr>
                    <w:rFonts w:ascii="Cambria Math" w:hAnsi="Cambria Math"/>
                    <w:i/>
                  </w:rPr>
                </m:ctrlPr>
              </m:dPr>
              <m:e>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W</m:t>
                    </m:r>
                  </m:e>
                  <m:sub>
                    <m:r>
                      <w:rPr>
                        <w:rFonts w:ascii="Cambria Math" w:hAnsi="Cambria Math"/>
                      </w:rPr>
                      <m:t>f</m:t>
                    </m:r>
                  </m:sub>
                </m:sSub>
              </m:e>
            </m:d>
          </m:num>
          <m:den>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 xml:space="preserve"> x 100</m:t>
            </m:r>
          </m:den>
        </m:f>
      </m:oMath>
      <w:r w:rsidRPr="008C310E">
        <w:rPr>
          <w:rFonts w:eastAsiaTheme="minorEastAsia"/>
        </w:rPr>
        <w:t xml:space="preserve">                                                          (</w:t>
      </w:r>
      <w:r w:rsidR="008C310E" w:rsidRPr="008C310E">
        <w:rPr>
          <w:rFonts w:eastAsiaTheme="minorEastAsia"/>
        </w:rPr>
        <w:t>2</w:t>
      </w:r>
      <w:r w:rsidRPr="008C310E">
        <w:rPr>
          <w:rFonts w:eastAsiaTheme="minorEastAsia"/>
        </w:rPr>
        <w:t>)</w:t>
      </w:r>
    </w:p>
    <w:p w14:paraId="79A87538" w14:textId="77777777" w:rsidR="004E3328" w:rsidRPr="00A43167" w:rsidRDefault="004E3328" w:rsidP="00A43167">
      <w:pPr>
        <w:rPr>
          <w:lang w:val="en-US"/>
        </w:rPr>
      </w:pPr>
      <w:r w:rsidRPr="00A43167">
        <w:rPr>
          <w:lang w:val="en-US"/>
        </w:rPr>
        <w:t xml:space="preserve">where </w:t>
      </w:r>
      <w:r w:rsidRPr="00A43167">
        <w:rPr>
          <w:i/>
          <w:iCs/>
          <w:lang w:val="en-US"/>
        </w:rPr>
        <w:t>W</w:t>
      </w:r>
      <w:r w:rsidRPr="00A43167">
        <w:rPr>
          <w:i/>
          <w:iCs/>
          <w:vertAlign w:val="subscript"/>
          <w:lang w:val="en-US"/>
        </w:rPr>
        <w:t>i</w:t>
      </w:r>
      <w:r w:rsidRPr="00A43167">
        <w:rPr>
          <w:lang w:val="en-US"/>
        </w:rPr>
        <w:t xml:space="preserve"> and </w:t>
      </w:r>
      <w:r w:rsidRPr="00A43167">
        <w:rPr>
          <w:i/>
          <w:iCs/>
          <w:lang w:val="en-US"/>
        </w:rPr>
        <w:t>W</w:t>
      </w:r>
      <w:r w:rsidRPr="00A43167">
        <w:rPr>
          <w:i/>
          <w:iCs/>
          <w:vertAlign w:val="subscript"/>
          <w:lang w:val="en-US"/>
        </w:rPr>
        <w:t>f</w:t>
      </w:r>
      <w:r w:rsidRPr="00A43167">
        <w:rPr>
          <w:lang w:val="en-US"/>
        </w:rPr>
        <w:t xml:space="preserve"> are the dried weights of the hydrogels before and after the incubation in the PBS solution, respectively.</w:t>
      </w:r>
    </w:p>
    <w:p w14:paraId="03E02813" w14:textId="77777777" w:rsidR="006A3166" w:rsidRPr="00A43167" w:rsidRDefault="006A3166" w:rsidP="006A3166">
      <w:pPr>
        <w:tabs>
          <w:tab w:val="left" w:pos="2240"/>
        </w:tabs>
        <w:rPr>
          <w:rFonts w:cs="Times New Roman"/>
          <w:lang w:val="en-CA"/>
        </w:rPr>
      </w:pPr>
      <w:r w:rsidRPr="004E3328">
        <w:rPr>
          <w:rFonts w:cs="Times New Roman"/>
          <w:lang w:val="en-CA"/>
        </w:rPr>
        <w:t>The swelling behavior of the hydrogels was evaluated in water at 25 °C.  The hydrogels exhibited swelling ratios (SRs) of 662%, 611%, 686%, 715%, and 913% for H-0, H-BNNT, H-BNNT-COOH, H-BNNT-EO, and H-BNNT-PEHNH₂, respectively. The SR of H-BNNT-PEHNH</w:t>
      </w:r>
      <w:r w:rsidRPr="008C310E">
        <w:rPr>
          <w:rFonts w:cs="Times New Roman"/>
          <w:vertAlign w:val="subscript"/>
          <w:lang w:val="en-CA"/>
        </w:rPr>
        <w:t>2</w:t>
      </w:r>
      <w:r w:rsidRPr="004E3328">
        <w:rPr>
          <w:rFonts w:cs="Times New Roman"/>
          <w:lang w:val="en-CA"/>
        </w:rPr>
        <w:t xml:space="preserve"> was higher, possibly due to the presence of PEG, which provides hydrophilicity to the network, and the protonation of the NH₂ groups in water, which generates electrostatic repulsion and increases the swelling capacity. These values were higher than the swelling ratio values previously reported for chitosan-starch-based hydrogels crosslinked through Schiff's base (Liu et al., 2020; Liu et al., 2020; </w:t>
      </w:r>
      <w:r w:rsidRPr="00A43167">
        <w:rPr>
          <w:rFonts w:cs="Times New Roman"/>
          <w:lang w:val="en-CA"/>
        </w:rPr>
        <w:t>Aslzad et al., 2022).</w:t>
      </w:r>
    </w:p>
    <w:p w14:paraId="147E9778" w14:textId="348CA865" w:rsidR="00431C60" w:rsidRDefault="00A43167" w:rsidP="00541048">
      <w:pPr>
        <w:tabs>
          <w:tab w:val="left" w:pos="2240"/>
        </w:tabs>
        <w:rPr>
          <w:rFonts w:cs="Times New Roman"/>
          <w:lang w:val="en-US"/>
        </w:rPr>
      </w:pPr>
      <w:r w:rsidRPr="00A43167">
        <w:rPr>
          <w:rFonts w:cs="Times New Roman"/>
          <w:lang w:val="en-US"/>
        </w:rPr>
        <w:t xml:space="preserve">The degradation of the H0 hydrogel was evaluated after 7 and 14 days in a phosphate-buffered saline (PBS) solution at 37 °C. After seven days, it was observed that the H-0 hydrogel had degraded by 2.6 </w:t>
      </w:r>
      <w:r w:rsidRPr="00A43167">
        <w:rPr>
          <w:rFonts w:cs="Times New Roman"/>
          <w:lang w:val="en-US"/>
        </w:rPr>
        <w:lastRenderedPageBreak/>
        <w:t>± 0.7 % (Fig. 3). After 14 days, the degradation rate was 11.1 ± 2.9 %. Degradation of these hydrogels occurs mainly by hydrolysis of the imine bonds (Schiff's base) linking the polymeric chains. These bonds are reversible and susceptible to hydrolysis in the presence of water. Schiff-base linkages are cleaved via hydrolysis of the imine bond especially at low pH, resulting in the breakdown of the polymeric network and, thus, in the degradation of the hydrogel (Jalalvandi &amp; Shavandi, 20</w:t>
      </w:r>
      <w:r w:rsidR="00C3547C">
        <w:rPr>
          <w:rFonts w:cs="Times New Roman"/>
          <w:lang w:val="en-US"/>
        </w:rPr>
        <w:t>18</w:t>
      </w:r>
      <w:r w:rsidRPr="00A43167">
        <w:rPr>
          <w:rFonts w:cs="Times New Roman"/>
          <w:lang w:val="en-US"/>
        </w:rPr>
        <w:t>). The values obtained were lower than those reported in previous studies of Schiff's crosslinked dialdehyde starch/chitosan-based hydrogels, which showed degradation ranging from 20% to 80% in phosphate-buffered saline (PBS) at 37°C after two weeks (Liu et al., 2020; Aslzad et al., 2022).</w:t>
      </w:r>
    </w:p>
    <w:p w14:paraId="0B22837B" w14:textId="339804D3" w:rsidR="006A3166" w:rsidRDefault="006A3166" w:rsidP="006A3166">
      <w:pPr>
        <w:pStyle w:val="ListParagraph"/>
        <w:numPr>
          <w:ilvl w:val="0"/>
          <w:numId w:val="6"/>
        </w:numPr>
        <w:tabs>
          <w:tab w:val="left" w:pos="2240"/>
        </w:tabs>
        <w:rPr>
          <w:rFonts w:ascii="Times New Roman" w:hAnsi="Times New Roman" w:cs="Times New Roman"/>
          <w:b/>
          <w:bCs/>
          <w:i/>
          <w:iCs/>
          <w:lang w:val="en-US"/>
        </w:rPr>
      </w:pPr>
      <w:r w:rsidRPr="006A3166">
        <w:rPr>
          <w:rFonts w:ascii="Times New Roman" w:hAnsi="Times New Roman" w:cs="Times New Roman"/>
          <w:b/>
          <w:bCs/>
          <w:i/>
          <w:iCs/>
          <w:lang w:val="en-US"/>
        </w:rPr>
        <w:t>Cell assays</w:t>
      </w:r>
    </w:p>
    <w:p w14:paraId="69FDEB37" w14:textId="6EDABDEC" w:rsidR="006A3166" w:rsidRDefault="006A3166" w:rsidP="006A3166">
      <w:pPr>
        <w:tabs>
          <w:tab w:val="left" w:pos="2240"/>
        </w:tabs>
        <w:ind w:left="360"/>
        <w:rPr>
          <w:rFonts w:cs="Times New Roman"/>
          <w:b/>
          <w:bCs/>
          <w:i/>
          <w:iCs/>
          <w:lang w:val="en-US"/>
        </w:rPr>
      </w:pPr>
    </w:p>
    <w:p w14:paraId="58B50583" w14:textId="0FAB42D3" w:rsidR="006A3166" w:rsidRPr="006A3166" w:rsidRDefault="006A3166" w:rsidP="006A3166">
      <w:pPr>
        <w:tabs>
          <w:tab w:val="left" w:pos="2240"/>
        </w:tabs>
        <w:ind w:left="360"/>
        <w:jc w:val="center"/>
        <w:rPr>
          <w:rFonts w:cs="Times New Roman"/>
          <w:b/>
          <w:bCs/>
          <w:i/>
          <w:iCs/>
          <w:lang w:val="en-US"/>
        </w:rPr>
      </w:pPr>
      <w:r>
        <w:rPr>
          <w:noProof/>
          <w:lang w:val="en-US"/>
        </w:rPr>
        <w:drawing>
          <wp:inline distT="0" distB="0" distL="0" distR="0" wp14:anchorId="01E5C4CD" wp14:editId="6E5D8860">
            <wp:extent cx="2584450" cy="1967726"/>
            <wp:effectExtent l="0" t="0" r="635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93384" cy="1974528"/>
                    </a:xfrm>
                    <a:prstGeom prst="rect">
                      <a:avLst/>
                    </a:prstGeom>
                    <a:noFill/>
                    <a:ln>
                      <a:noFill/>
                    </a:ln>
                  </pic:spPr>
                </pic:pic>
              </a:graphicData>
            </a:graphic>
          </wp:inline>
        </w:drawing>
      </w:r>
    </w:p>
    <w:p w14:paraId="0D7166B6" w14:textId="7A6DA7A4" w:rsidR="006A3166" w:rsidRPr="006A3166" w:rsidRDefault="006A3166" w:rsidP="00541048">
      <w:pPr>
        <w:tabs>
          <w:tab w:val="left" w:pos="2240"/>
        </w:tabs>
        <w:rPr>
          <w:rFonts w:cs="Times New Roman"/>
          <w:lang w:val="en-US"/>
        </w:rPr>
      </w:pPr>
      <w:r>
        <w:rPr>
          <w:rFonts w:cs="Times New Roman"/>
          <w:lang w:val="en-US"/>
        </w:rPr>
        <w:t>Figure S</w:t>
      </w:r>
      <w:r w:rsidR="000D4B2B">
        <w:rPr>
          <w:rFonts w:cs="Times New Roman"/>
          <w:lang w:val="en-US"/>
        </w:rPr>
        <w:t>5</w:t>
      </w:r>
      <w:r>
        <w:rPr>
          <w:rFonts w:cs="Times New Roman"/>
          <w:lang w:val="en-US"/>
        </w:rPr>
        <w:t xml:space="preserve">. </w:t>
      </w:r>
      <w:r w:rsidRPr="006A3166">
        <w:rPr>
          <w:rFonts w:cs="Times New Roman"/>
          <w:lang w:val="en-US"/>
        </w:rPr>
        <w:t xml:space="preserve">Confocal microscopy images of cells treated with </w:t>
      </w:r>
      <w:r>
        <w:rPr>
          <w:rFonts w:cs="Times New Roman"/>
          <w:lang w:val="en-US"/>
        </w:rPr>
        <w:t>only light (control)</w:t>
      </w:r>
      <w:r w:rsidRPr="006A3166">
        <w:rPr>
          <w:rFonts w:cs="Times New Roman"/>
          <w:lang w:val="en-US"/>
        </w:rPr>
        <w:t>. Images were captured at 10X magniﬁcation. The fluorescence intensity in the cells indicates the production of reactive oxygen species (ROS) using the general oxidative stress indicator CM-H2DCFDA</w:t>
      </w:r>
      <w:r w:rsidR="008C310E">
        <w:rPr>
          <w:rFonts w:cs="Times New Roman"/>
          <w:lang w:val="en-US"/>
        </w:rPr>
        <w:t>.</w:t>
      </w:r>
    </w:p>
    <w:p w14:paraId="4A1B2B30" w14:textId="0F54BC56" w:rsidR="006A3166" w:rsidRDefault="006A3166" w:rsidP="00541048">
      <w:pPr>
        <w:tabs>
          <w:tab w:val="left" w:pos="2240"/>
        </w:tabs>
        <w:rPr>
          <w:rFonts w:cs="Times New Roman"/>
          <w:lang w:val="en-US"/>
        </w:rPr>
      </w:pPr>
    </w:p>
    <w:p w14:paraId="40C9F84C" w14:textId="1F475946" w:rsidR="006A3166" w:rsidRDefault="006A3166" w:rsidP="00541048">
      <w:pPr>
        <w:tabs>
          <w:tab w:val="left" w:pos="2240"/>
        </w:tabs>
        <w:rPr>
          <w:rFonts w:cs="Times New Roman"/>
          <w:lang w:val="en-US"/>
        </w:rPr>
      </w:pPr>
    </w:p>
    <w:p w14:paraId="0F3887DB" w14:textId="77777777" w:rsidR="006A3166" w:rsidRPr="00A43167" w:rsidRDefault="006A3166" w:rsidP="00541048">
      <w:pPr>
        <w:tabs>
          <w:tab w:val="left" w:pos="2240"/>
        </w:tabs>
        <w:rPr>
          <w:rFonts w:cs="Times New Roman"/>
          <w:lang w:val="en-US"/>
        </w:rPr>
      </w:pPr>
    </w:p>
    <w:p w14:paraId="6B56D23F" w14:textId="7F4D6016" w:rsidR="00B30533" w:rsidRDefault="00B30533" w:rsidP="00541048">
      <w:pPr>
        <w:tabs>
          <w:tab w:val="left" w:pos="2240"/>
        </w:tabs>
        <w:rPr>
          <w:rFonts w:cs="Times New Roman"/>
          <w:b/>
          <w:bCs/>
          <w:lang w:val="en-US"/>
        </w:rPr>
      </w:pPr>
      <w:r w:rsidRPr="00B30533">
        <w:rPr>
          <w:rFonts w:cs="Times New Roman"/>
          <w:b/>
          <w:bCs/>
          <w:lang w:val="en-US"/>
        </w:rPr>
        <w:t>References</w:t>
      </w:r>
    </w:p>
    <w:p w14:paraId="1127320D" w14:textId="1DB6456D" w:rsidR="004E3328" w:rsidRDefault="004E3328" w:rsidP="004E3328">
      <w:pPr>
        <w:tabs>
          <w:tab w:val="left" w:pos="2240"/>
        </w:tabs>
        <w:spacing w:line="240" w:lineRule="auto"/>
        <w:rPr>
          <w:rFonts w:cs="Times New Roman"/>
          <w:lang w:val="en-US"/>
        </w:rPr>
      </w:pPr>
      <w:r w:rsidRPr="00AA3FC5">
        <w:rPr>
          <w:rFonts w:cs="Times New Roman"/>
          <w:lang w:val="en-US"/>
        </w:rPr>
        <w:lastRenderedPageBreak/>
        <w:t xml:space="preserve">Aslzad, S., Savadi, P., Abdolahinia, E. D., Omidi, Y., Fathi, M., &amp; Barar, J. (2022). </w:t>
      </w:r>
      <w:r w:rsidRPr="004E3328">
        <w:rPr>
          <w:rFonts w:cs="Times New Roman"/>
          <w:lang w:val="en-US"/>
        </w:rPr>
        <w:t>Chitosan/dialdehyde starch hybrid in situ forming hydrogel for ocular delivery of betamethasone. Materials Today Communications, 33, 104873.</w:t>
      </w:r>
    </w:p>
    <w:p w14:paraId="74921ABF" w14:textId="5366A270" w:rsidR="00762EA4" w:rsidRPr="004E3328" w:rsidRDefault="00762EA4" w:rsidP="004E3328">
      <w:pPr>
        <w:tabs>
          <w:tab w:val="left" w:pos="2240"/>
        </w:tabs>
        <w:spacing w:line="240" w:lineRule="auto"/>
        <w:rPr>
          <w:rFonts w:cs="Times New Roman"/>
          <w:lang w:val="en-US"/>
        </w:rPr>
      </w:pPr>
      <w:r w:rsidRPr="00762EA4">
        <w:rPr>
          <w:rFonts w:cs="Times New Roman"/>
          <w:lang w:val="en-US"/>
        </w:rPr>
        <w:t>Jalalvandi, E., &amp; Shavandi, A. (2018). In situ-forming and pH-responsive hydrogel based on chitosan for vaginal delivery of therapeutic agents. Journal of Materials Science: Materials in Medicine, 29, 1-11.</w:t>
      </w:r>
    </w:p>
    <w:p w14:paraId="27B7C423" w14:textId="77777777" w:rsidR="004E3328" w:rsidRPr="004E3328" w:rsidRDefault="004E3328" w:rsidP="004E3328">
      <w:pPr>
        <w:tabs>
          <w:tab w:val="left" w:pos="2240"/>
        </w:tabs>
        <w:spacing w:line="240" w:lineRule="auto"/>
        <w:rPr>
          <w:rFonts w:cs="Times New Roman"/>
          <w:lang w:val="en-US"/>
        </w:rPr>
      </w:pPr>
      <w:r w:rsidRPr="004E3328">
        <w:rPr>
          <w:rFonts w:cs="Times New Roman"/>
          <w:lang w:val="en-US"/>
        </w:rPr>
        <w:t>Liu, Q., Ji, N., Xiong, L., &amp; Sun, Q. (2020). Rapid gelling, self-healing, and fluorescence-responsive chitosan hydrogels formed by dynamic covalent crosslinking. Carbohydrate Polymers, 246, 116586.</w:t>
      </w:r>
    </w:p>
    <w:p w14:paraId="566C3B2E" w14:textId="3DEEAA02" w:rsidR="004E3328" w:rsidRPr="006A3166" w:rsidRDefault="004E3328" w:rsidP="006A3166">
      <w:pPr>
        <w:tabs>
          <w:tab w:val="left" w:pos="2240"/>
        </w:tabs>
        <w:spacing w:line="240" w:lineRule="auto"/>
        <w:rPr>
          <w:rFonts w:cs="Times New Roman"/>
          <w:lang w:val="en-US"/>
        </w:rPr>
      </w:pPr>
      <w:r w:rsidRPr="004E3328">
        <w:rPr>
          <w:rFonts w:cs="Times New Roman"/>
          <w:lang w:val="en-US"/>
        </w:rPr>
        <w:t>Liu, J., Li, J., Yu, F., Zhao, Y. X., Mo, X. M., &amp; Pan, J. F. (2020). In situ forming hydrogel of natural polysaccharides through Schiff base reaction for soft tissue adhesive and hemostasis. International Journal of Biological Macromolecules, 147, 653-666.</w:t>
      </w:r>
    </w:p>
    <w:p w14:paraId="2428A147" w14:textId="7F62DADC" w:rsidR="00431C60" w:rsidRDefault="00431C60" w:rsidP="004E3328">
      <w:pPr>
        <w:tabs>
          <w:tab w:val="left" w:pos="2240"/>
        </w:tabs>
        <w:spacing w:line="240" w:lineRule="auto"/>
        <w:rPr>
          <w:rFonts w:cs="Times New Roman"/>
          <w:lang w:val="en-US"/>
        </w:rPr>
      </w:pPr>
      <w:r w:rsidRPr="004E3328">
        <w:rPr>
          <w:rFonts w:cs="Times New Roman"/>
          <w:lang w:val="en-US"/>
        </w:rPr>
        <w:t>Martinez Rubi, Y., Jakubek, Z. J., Chen, M., Zou, S., &amp; Simard, B. (2019). Quality assessment of bulk boron nitride nanotubes for advancing research, commercial, and industrial applications. ACS Applied Nano Materials, 2(4), 2054-2063.</w:t>
      </w:r>
    </w:p>
    <w:p w14:paraId="0E73252F" w14:textId="25EE475F" w:rsidR="008C310E" w:rsidRPr="008C310E" w:rsidRDefault="008C310E" w:rsidP="004E3328">
      <w:pPr>
        <w:tabs>
          <w:tab w:val="left" w:pos="2240"/>
        </w:tabs>
        <w:spacing w:line="240" w:lineRule="auto"/>
        <w:rPr>
          <w:rFonts w:cs="Times New Roman"/>
          <w:lang w:val="en-US"/>
        </w:rPr>
      </w:pPr>
      <w:r w:rsidRPr="008C310E">
        <w:rPr>
          <w:rFonts w:cs="Times New Roman"/>
        </w:rPr>
        <w:t xml:space="preserve">Pettinelli, N., Rodriguez-Llamazares, S., Bouza, R., Barral, L., Feijoo-Bandin, S., &amp; Lago, F. (2020). </w:t>
      </w:r>
      <w:r w:rsidRPr="008C310E">
        <w:rPr>
          <w:rFonts w:cs="Times New Roman"/>
          <w:lang w:val="en-US"/>
        </w:rPr>
        <w:t>Carrageenan-based physically crosslinked injectable hydrogel for wound healing and tissue repairing applications. International journal of pharmaceutics, 589, 119828.</w:t>
      </w:r>
    </w:p>
    <w:p w14:paraId="0429CDA0" w14:textId="77777777" w:rsidR="00B30533" w:rsidRPr="004E3328" w:rsidRDefault="00B30533" w:rsidP="00B30533">
      <w:pPr>
        <w:pStyle w:val="EndNoteBibliography"/>
        <w:ind w:left="720" w:hanging="720"/>
        <w:rPr>
          <w:lang w:val="es-CL"/>
        </w:rPr>
      </w:pPr>
      <w:r>
        <w:rPr>
          <w:rFonts w:asciiTheme="minorHAnsi" w:hAnsiTheme="minorHAnsi" w:cstheme="minorHAnsi"/>
        </w:rPr>
        <w:fldChar w:fldCharType="begin"/>
      </w:r>
      <w:r>
        <w:rPr>
          <w:rFonts w:asciiTheme="minorHAnsi" w:hAnsiTheme="minorHAnsi" w:cstheme="minorHAnsi"/>
        </w:rPr>
        <w:instrText xml:space="preserve"> ADDIN EN.REFLIST </w:instrText>
      </w:r>
      <w:r>
        <w:rPr>
          <w:rFonts w:asciiTheme="minorHAnsi" w:hAnsiTheme="minorHAnsi" w:cstheme="minorHAnsi"/>
        </w:rPr>
        <w:fldChar w:fldCharType="separate"/>
      </w:r>
      <w:r w:rsidRPr="00B30533">
        <w:t xml:space="preserve">Zhang, L., Liu, P., Wang, Y., &amp; Gao, W. (2011). Study on physico-chemical properties of dialdehyde yam starch with different aldehyde group contents. </w:t>
      </w:r>
      <w:r w:rsidRPr="004E3328">
        <w:rPr>
          <w:i/>
          <w:lang w:val="es-CL"/>
        </w:rPr>
        <w:t xml:space="preserve">Thermochimica Acta, </w:t>
      </w:r>
      <w:r w:rsidRPr="004E3328">
        <w:rPr>
          <w:lang w:val="es-CL"/>
        </w:rPr>
        <w:t xml:space="preserve">512(1-2), 196-201. </w:t>
      </w:r>
    </w:p>
    <w:p w14:paraId="057E334E" w14:textId="53B92607" w:rsidR="00541048" w:rsidRDefault="00B30533" w:rsidP="004E3328">
      <w:pPr>
        <w:tabs>
          <w:tab w:val="left" w:pos="2240"/>
        </w:tabs>
      </w:pPr>
      <w:r>
        <w:rPr>
          <w:rFonts w:asciiTheme="minorHAnsi" w:hAnsiTheme="minorHAnsi" w:cstheme="minorHAnsi"/>
          <w:lang w:val="en-US"/>
        </w:rPr>
        <w:fldChar w:fldCharType="end"/>
      </w:r>
      <w:r w:rsidR="004E3328" w:rsidRPr="004E3328">
        <w:t xml:space="preserve"> </w:t>
      </w:r>
    </w:p>
    <w:p w14:paraId="00F4C83E" w14:textId="77777777" w:rsidR="004E3092" w:rsidRPr="00231445" w:rsidRDefault="004E3092" w:rsidP="004E3328">
      <w:pPr>
        <w:tabs>
          <w:tab w:val="left" w:pos="2240"/>
        </w:tabs>
        <w:rPr>
          <w:rFonts w:asciiTheme="minorHAnsi" w:hAnsiTheme="minorHAnsi" w:cstheme="minorHAnsi"/>
          <w:lang w:val="en-US"/>
        </w:rPr>
      </w:pPr>
      <w:bookmarkStart w:id="9" w:name="_GoBack"/>
      <w:bookmarkEnd w:id="9"/>
    </w:p>
    <w:sectPr w:rsidR="004E3092" w:rsidRPr="00231445">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D2233"/>
    <w:multiLevelType w:val="hybridMultilevel"/>
    <w:tmpl w:val="DFF66032"/>
    <w:lvl w:ilvl="0" w:tplc="340A000F">
      <w:start w:val="1"/>
      <w:numFmt w:val="decimal"/>
      <w:lvlText w:val="%1."/>
      <w:lvlJc w:val="left"/>
      <w:pPr>
        <w:ind w:left="720" w:hanging="360"/>
      </w:pPr>
      <w:rPr>
        <w:rFonts w:ascii="Times New Roman" w:hAnsi="Times New Roman" w:cs="Times New Roman"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2974727F"/>
    <w:multiLevelType w:val="hybridMultilevel"/>
    <w:tmpl w:val="1388CAD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15:restartNumberingAfterBreak="0">
    <w:nsid w:val="518A4EA4"/>
    <w:multiLevelType w:val="hybridMultilevel"/>
    <w:tmpl w:val="51FCC15A"/>
    <w:lvl w:ilvl="0" w:tplc="340A0001">
      <w:start w:val="1"/>
      <w:numFmt w:val="bullet"/>
      <w:lvlText w:val=""/>
      <w:lvlJc w:val="left"/>
      <w:pPr>
        <w:ind w:left="1287" w:hanging="360"/>
      </w:pPr>
      <w:rPr>
        <w:rFonts w:ascii="Symbol" w:hAnsi="Symbol" w:hint="default"/>
      </w:rPr>
    </w:lvl>
    <w:lvl w:ilvl="1" w:tplc="340A0003" w:tentative="1">
      <w:start w:val="1"/>
      <w:numFmt w:val="bullet"/>
      <w:lvlText w:val="o"/>
      <w:lvlJc w:val="left"/>
      <w:pPr>
        <w:ind w:left="2007" w:hanging="360"/>
      </w:pPr>
      <w:rPr>
        <w:rFonts w:ascii="Courier New" w:hAnsi="Courier New" w:cs="Courier New" w:hint="default"/>
      </w:rPr>
    </w:lvl>
    <w:lvl w:ilvl="2" w:tplc="340A0005" w:tentative="1">
      <w:start w:val="1"/>
      <w:numFmt w:val="bullet"/>
      <w:lvlText w:val=""/>
      <w:lvlJc w:val="left"/>
      <w:pPr>
        <w:ind w:left="2727" w:hanging="360"/>
      </w:pPr>
      <w:rPr>
        <w:rFonts w:ascii="Wingdings" w:hAnsi="Wingdings" w:hint="default"/>
      </w:rPr>
    </w:lvl>
    <w:lvl w:ilvl="3" w:tplc="340A0001" w:tentative="1">
      <w:start w:val="1"/>
      <w:numFmt w:val="bullet"/>
      <w:lvlText w:val=""/>
      <w:lvlJc w:val="left"/>
      <w:pPr>
        <w:ind w:left="3447" w:hanging="360"/>
      </w:pPr>
      <w:rPr>
        <w:rFonts w:ascii="Symbol" w:hAnsi="Symbol" w:hint="default"/>
      </w:rPr>
    </w:lvl>
    <w:lvl w:ilvl="4" w:tplc="340A0003" w:tentative="1">
      <w:start w:val="1"/>
      <w:numFmt w:val="bullet"/>
      <w:lvlText w:val="o"/>
      <w:lvlJc w:val="left"/>
      <w:pPr>
        <w:ind w:left="4167" w:hanging="360"/>
      </w:pPr>
      <w:rPr>
        <w:rFonts w:ascii="Courier New" w:hAnsi="Courier New" w:cs="Courier New" w:hint="default"/>
      </w:rPr>
    </w:lvl>
    <w:lvl w:ilvl="5" w:tplc="340A0005" w:tentative="1">
      <w:start w:val="1"/>
      <w:numFmt w:val="bullet"/>
      <w:lvlText w:val=""/>
      <w:lvlJc w:val="left"/>
      <w:pPr>
        <w:ind w:left="4887" w:hanging="360"/>
      </w:pPr>
      <w:rPr>
        <w:rFonts w:ascii="Wingdings" w:hAnsi="Wingdings" w:hint="default"/>
      </w:rPr>
    </w:lvl>
    <w:lvl w:ilvl="6" w:tplc="340A0001" w:tentative="1">
      <w:start w:val="1"/>
      <w:numFmt w:val="bullet"/>
      <w:lvlText w:val=""/>
      <w:lvlJc w:val="left"/>
      <w:pPr>
        <w:ind w:left="5607" w:hanging="360"/>
      </w:pPr>
      <w:rPr>
        <w:rFonts w:ascii="Symbol" w:hAnsi="Symbol" w:hint="default"/>
      </w:rPr>
    </w:lvl>
    <w:lvl w:ilvl="7" w:tplc="340A0003" w:tentative="1">
      <w:start w:val="1"/>
      <w:numFmt w:val="bullet"/>
      <w:lvlText w:val="o"/>
      <w:lvlJc w:val="left"/>
      <w:pPr>
        <w:ind w:left="6327" w:hanging="360"/>
      </w:pPr>
      <w:rPr>
        <w:rFonts w:ascii="Courier New" w:hAnsi="Courier New" w:cs="Courier New" w:hint="default"/>
      </w:rPr>
    </w:lvl>
    <w:lvl w:ilvl="8" w:tplc="340A0005" w:tentative="1">
      <w:start w:val="1"/>
      <w:numFmt w:val="bullet"/>
      <w:lvlText w:val=""/>
      <w:lvlJc w:val="left"/>
      <w:pPr>
        <w:ind w:left="7047" w:hanging="360"/>
      </w:pPr>
      <w:rPr>
        <w:rFonts w:ascii="Wingdings" w:hAnsi="Wingdings" w:hint="default"/>
      </w:rPr>
    </w:lvl>
  </w:abstractNum>
  <w:abstractNum w:abstractNumId="3" w15:restartNumberingAfterBreak="0">
    <w:nsid w:val="52D15F21"/>
    <w:multiLevelType w:val="multilevel"/>
    <w:tmpl w:val="E0A2455A"/>
    <w:lvl w:ilvl="0">
      <w:start w:val="2"/>
      <w:numFmt w:val="decimal"/>
      <w:lvlText w:val="%1"/>
      <w:lvlJc w:val="left"/>
      <w:pPr>
        <w:ind w:left="360" w:hanging="360"/>
      </w:pPr>
      <w:rPr>
        <w:rFonts w:hint="default"/>
        <w:sz w:val="22"/>
      </w:rPr>
    </w:lvl>
    <w:lvl w:ilvl="1">
      <w:start w:val="1"/>
      <w:numFmt w:val="decimal"/>
      <w:lvlText w:val="%1.%2"/>
      <w:lvlJc w:val="left"/>
      <w:pPr>
        <w:ind w:left="360" w:hanging="360"/>
      </w:pPr>
      <w:rPr>
        <w:rFonts w:hint="default"/>
        <w:sz w:val="22"/>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4" w15:restartNumberingAfterBreak="0">
    <w:nsid w:val="6191331A"/>
    <w:multiLevelType w:val="hybridMultilevel"/>
    <w:tmpl w:val="42BA593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73776480"/>
    <w:multiLevelType w:val="hybridMultilevel"/>
    <w:tmpl w:val="9FA2AA7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7773360E"/>
    <w:multiLevelType w:val="multilevel"/>
    <w:tmpl w:val="DA06CCC2"/>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7D5747E2"/>
    <w:multiLevelType w:val="hybridMultilevel"/>
    <w:tmpl w:val="E33E619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5"/>
  </w:num>
  <w:num w:numId="5">
    <w:abstractNumId w:val="7"/>
  </w:num>
  <w:num w:numId="6">
    <w:abstractNumId w:val="4"/>
  </w:num>
  <w:num w:numId="7">
    <w:abstractNumId w:val="6"/>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arbohydrate Polymers &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9zzetp09r5dw9gex0dmxepadvxxa2rtdxe0v&quot;&gt;My EndNote Library&lt;record-ids&gt;&lt;item&gt;762&lt;/item&gt;&lt;/record-ids&gt;&lt;/item&gt;&lt;/Libraries&gt;"/>
  </w:docVars>
  <w:rsids>
    <w:rsidRoot w:val="005F71E7"/>
    <w:rsid w:val="0007442C"/>
    <w:rsid w:val="000806B9"/>
    <w:rsid w:val="000C5C89"/>
    <w:rsid w:val="000D4B2B"/>
    <w:rsid w:val="00122E3B"/>
    <w:rsid w:val="001652F0"/>
    <w:rsid w:val="00186F92"/>
    <w:rsid w:val="001A1FD9"/>
    <w:rsid w:val="001B4389"/>
    <w:rsid w:val="001C19BB"/>
    <w:rsid w:val="001E0647"/>
    <w:rsid w:val="001E7C3E"/>
    <w:rsid w:val="00212F4F"/>
    <w:rsid w:val="00231445"/>
    <w:rsid w:val="00236A72"/>
    <w:rsid w:val="002408BA"/>
    <w:rsid w:val="00260417"/>
    <w:rsid w:val="002803CE"/>
    <w:rsid w:val="002E4BA0"/>
    <w:rsid w:val="002F60A5"/>
    <w:rsid w:val="00326CCB"/>
    <w:rsid w:val="00330F16"/>
    <w:rsid w:val="00372BFC"/>
    <w:rsid w:val="00377479"/>
    <w:rsid w:val="003D0E91"/>
    <w:rsid w:val="003E448F"/>
    <w:rsid w:val="003E5D7D"/>
    <w:rsid w:val="003F0B55"/>
    <w:rsid w:val="00431C60"/>
    <w:rsid w:val="00432EE7"/>
    <w:rsid w:val="004C18B6"/>
    <w:rsid w:val="004E3092"/>
    <w:rsid w:val="004E3328"/>
    <w:rsid w:val="004E522E"/>
    <w:rsid w:val="00522A5B"/>
    <w:rsid w:val="00540187"/>
    <w:rsid w:val="00541048"/>
    <w:rsid w:val="00561076"/>
    <w:rsid w:val="00562F99"/>
    <w:rsid w:val="00572C6F"/>
    <w:rsid w:val="005773BE"/>
    <w:rsid w:val="00577A65"/>
    <w:rsid w:val="00582D4B"/>
    <w:rsid w:val="00594F9E"/>
    <w:rsid w:val="005A19C2"/>
    <w:rsid w:val="005A3DCC"/>
    <w:rsid w:val="005C46DB"/>
    <w:rsid w:val="005F71E7"/>
    <w:rsid w:val="00627819"/>
    <w:rsid w:val="0066501F"/>
    <w:rsid w:val="006A27B5"/>
    <w:rsid w:val="006A3166"/>
    <w:rsid w:val="006F46C4"/>
    <w:rsid w:val="007337E3"/>
    <w:rsid w:val="00735BCF"/>
    <w:rsid w:val="00762EA4"/>
    <w:rsid w:val="007658F8"/>
    <w:rsid w:val="00786A07"/>
    <w:rsid w:val="00815622"/>
    <w:rsid w:val="0088624C"/>
    <w:rsid w:val="00897B9A"/>
    <w:rsid w:val="008C310E"/>
    <w:rsid w:val="00946D36"/>
    <w:rsid w:val="009569CE"/>
    <w:rsid w:val="00974C5B"/>
    <w:rsid w:val="009C0A6C"/>
    <w:rsid w:val="009F400E"/>
    <w:rsid w:val="00A013D6"/>
    <w:rsid w:val="00A41B3A"/>
    <w:rsid w:val="00A43167"/>
    <w:rsid w:val="00A63E2C"/>
    <w:rsid w:val="00A65AA8"/>
    <w:rsid w:val="00AA3FC5"/>
    <w:rsid w:val="00AB211F"/>
    <w:rsid w:val="00AB32B5"/>
    <w:rsid w:val="00AE7524"/>
    <w:rsid w:val="00B30533"/>
    <w:rsid w:val="00B522A9"/>
    <w:rsid w:val="00B57C68"/>
    <w:rsid w:val="00BB0DE0"/>
    <w:rsid w:val="00BB420C"/>
    <w:rsid w:val="00BB5734"/>
    <w:rsid w:val="00BD2385"/>
    <w:rsid w:val="00BE3CB5"/>
    <w:rsid w:val="00BE568D"/>
    <w:rsid w:val="00C3547C"/>
    <w:rsid w:val="00C359CE"/>
    <w:rsid w:val="00C462B5"/>
    <w:rsid w:val="00C71030"/>
    <w:rsid w:val="00C723B9"/>
    <w:rsid w:val="00C84A42"/>
    <w:rsid w:val="00C912CF"/>
    <w:rsid w:val="00CB6550"/>
    <w:rsid w:val="00D2022A"/>
    <w:rsid w:val="00D37728"/>
    <w:rsid w:val="00D627C0"/>
    <w:rsid w:val="00DA6C31"/>
    <w:rsid w:val="00DB1FF8"/>
    <w:rsid w:val="00DD2E23"/>
    <w:rsid w:val="00DE5E97"/>
    <w:rsid w:val="00E02A0A"/>
    <w:rsid w:val="00E65D35"/>
    <w:rsid w:val="00E8032C"/>
    <w:rsid w:val="00E9686F"/>
    <w:rsid w:val="00E96FCC"/>
    <w:rsid w:val="00EA1CF2"/>
    <w:rsid w:val="00EF0188"/>
    <w:rsid w:val="00F04077"/>
    <w:rsid w:val="00F45201"/>
    <w:rsid w:val="00F4632F"/>
    <w:rsid w:val="00F64FB2"/>
    <w:rsid w:val="00F81B6A"/>
    <w:rsid w:val="00F96271"/>
    <w:rsid w:val="00FF5A9D"/>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FA7DBA"/>
  <w15:chartTrackingRefBased/>
  <w15:docId w15:val="{FD9C0DE1-203D-4395-8696-C6E8D11E98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s-CL"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E7524"/>
    <w:pPr>
      <w:spacing w:line="480" w:lineRule="auto"/>
      <w:jc w:val="both"/>
    </w:pPr>
    <w:rPr>
      <w:rFonts w:ascii="Times New Roman" w:hAnsi="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71E7"/>
    <w:pPr>
      <w:spacing w:line="259" w:lineRule="auto"/>
      <w:ind w:left="720"/>
      <w:contextualSpacing/>
      <w:jc w:val="left"/>
    </w:pPr>
    <w:rPr>
      <w:rFonts w:asciiTheme="minorHAnsi" w:hAnsiTheme="minorHAnsi"/>
      <w:kern w:val="0"/>
      <w:lang w:val="en-CA"/>
      <w14:ligatures w14:val="none"/>
    </w:rPr>
  </w:style>
  <w:style w:type="character" w:styleId="Hyperlink">
    <w:name w:val="Hyperlink"/>
    <w:basedOn w:val="DefaultParagraphFont"/>
    <w:uiPriority w:val="99"/>
    <w:unhideWhenUsed/>
    <w:rsid w:val="00F96271"/>
    <w:rPr>
      <w:color w:val="0563C1" w:themeColor="hyperlink"/>
      <w:u w:val="single"/>
    </w:rPr>
  </w:style>
  <w:style w:type="character" w:customStyle="1" w:styleId="UnresolvedMention">
    <w:name w:val="Unresolved Mention"/>
    <w:basedOn w:val="DefaultParagraphFont"/>
    <w:uiPriority w:val="99"/>
    <w:semiHidden/>
    <w:unhideWhenUsed/>
    <w:rsid w:val="00F96271"/>
    <w:rPr>
      <w:color w:val="605E5C"/>
      <w:shd w:val="clear" w:color="auto" w:fill="E1DFDD"/>
    </w:rPr>
  </w:style>
  <w:style w:type="character" w:customStyle="1" w:styleId="anchor-text">
    <w:name w:val="anchor-text"/>
    <w:basedOn w:val="DefaultParagraphFont"/>
    <w:rsid w:val="00577A65"/>
  </w:style>
  <w:style w:type="character" w:styleId="FollowedHyperlink">
    <w:name w:val="FollowedHyperlink"/>
    <w:basedOn w:val="DefaultParagraphFont"/>
    <w:uiPriority w:val="99"/>
    <w:semiHidden/>
    <w:unhideWhenUsed/>
    <w:rsid w:val="00DD2E23"/>
    <w:rPr>
      <w:color w:val="954F72" w:themeColor="followedHyperlink"/>
      <w:u w:val="single"/>
    </w:rPr>
  </w:style>
  <w:style w:type="table" w:styleId="TableGrid">
    <w:name w:val="Table Grid"/>
    <w:basedOn w:val="TableNormal"/>
    <w:uiPriority w:val="39"/>
    <w:rsid w:val="009C0A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Title">
    <w:name w:val="EndNote Bibliography Title"/>
    <w:basedOn w:val="Normal"/>
    <w:link w:val="EndNoteBibliographyTitleCar"/>
    <w:rsid w:val="00B30533"/>
    <w:pPr>
      <w:spacing w:after="0"/>
      <w:jc w:val="center"/>
    </w:pPr>
    <w:rPr>
      <w:rFonts w:cs="Times New Roman"/>
      <w:noProof/>
      <w:lang w:val="en-US"/>
    </w:rPr>
  </w:style>
  <w:style w:type="character" w:customStyle="1" w:styleId="EndNoteBibliographyTitleCar">
    <w:name w:val="EndNote Bibliography Title Car"/>
    <w:basedOn w:val="DefaultParagraphFont"/>
    <w:link w:val="EndNoteBibliographyTitle"/>
    <w:rsid w:val="00B30533"/>
    <w:rPr>
      <w:rFonts w:ascii="Times New Roman" w:hAnsi="Times New Roman" w:cs="Times New Roman"/>
      <w:noProof/>
      <w:lang w:val="en-US"/>
    </w:rPr>
  </w:style>
  <w:style w:type="paragraph" w:customStyle="1" w:styleId="EndNoteBibliography">
    <w:name w:val="EndNote Bibliography"/>
    <w:basedOn w:val="Normal"/>
    <w:link w:val="EndNoteBibliographyCar"/>
    <w:rsid w:val="00B30533"/>
    <w:pPr>
      <w:spacing w:line="240" w:lineRule="auto"/>
    </w:pPr>
    <w:rPr>
      <w:rFonts w:cs="Times New Roman"/>
      <w:noProof/>
      <w:lang w:val="en-US"/>
    </w:rPr>
  </w:style>
  <w:style w:type="character" w:customStyle="1" w:styleId="EndNoteBibliographyCar">
    <w:name w:val="EndNote Bibliography Car"/>
    <w:basedOn w:val="DefaultParagraphFont"/>
    <w:link w:val="EndNoteBibliography"/>
    <w:rsid w:val="00B30533"/>
    <w:rPr>
      <w:rFonts w:ascii="Times New Roman" w:hAnsi="Times New Roman" w:cs="Times New Roman"/>
      <w:noProof/>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413572">
      <w:bodyDiv w:val="1"/>
      <w:marLeft w:val="0"/>
      <w:marRight w:val="0"/>
      <w:marTop w:val="0"/>
      <w:marBottom w:val="0"/>
      <w:divBdr>
        <w:top w:val="none" w:sz="0" w:space="0" w:color="auto"/>
        <w:left w:val="none" w:sz="0" w:space="0" w:color="auto"/>
        <w:bottom w:val="none" w:sz="0" w:space="0" w:color="auto"/>
        <w:right w:val="none" w:sz="0" w:space="0" w:color="auto"/>
      </w:divBdr>
    </w:div>
    <w:div w:id="6124394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oleObject" Target="embeddings/oleObject2.bin"/><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6.em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oleObject" Target="embeddings/oleObject1.bin"/><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7.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F9D381-EA48-4676-B165-4A1AA665F5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8</Pages>
  <Words>2440</Words>
  <Characters>13908</Characters>
  <Application>Microsoft Office Word</Application>
  <DocSecurity>0</DocSecurity>
  <Lines>115</Lines>
  <Paragraphs>32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16316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Natalia Andrea Pettinelli Obreque</dc:creator>
  <cp:keywords/>
  <dc:description/>
  <cp:lastModifiedBy>Arden Marie Badon</cp:lastModifiedBy>
  <cp:revision>13</cp:revision>
  <dcterms:created xsi:type="dcterms:W3CDTF">2025-03-10T19:28:00Z</dcterms:created>
  <dcterms:modified xsi:type="dcterms:W3CDTF">2025-07-01T02:22:00Z</dcterms:modified>
</cp:coreProperties>
</file>